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2" w:rsidRPr="003E1A4E" w:rsidRDefault="00516382" w:rsidP="00516382">
      <w:pPr>
        <w:widowControl w:val="0"/>
        <w:jc w:val="center"/>
        <w:rPr>
          <w:rFonts w:eastAsia="Times New Roman"/>
          <w:b/>
          <w:bCs/>
          <w:sz w:val="24"/>
          <w:szCs w:val="24"/>
          <w:lang w:eastAsia="bg-BG" w:bidi="bg-BG"/>
        </w:rPr>
      </w:pPr>
      <w:r w:rsidRPr="003E1A4E">
        <w:rPr>
          <w:rFonts w:eastAsia="Times New Roman"/>
          <w:b/>
          <w:bCs/>
          <w:sz w:val="24"/>
          <w:szCs w:val="24"/>
          <w:lang w:eastAsia="bg-BG" w:bidi="bg-BG"/>
        </w:rPr>
        <w:t>ТЕХНИЧЕСКО ЗАДАНИЕ/СПЕЦИФИКАЦИЯ</w:t>
      </w:r>
    </w:p>
    <w:p w:rsidR="00516382" w:rsidRPr="003E1A4E" w:rsidRDefault="00516382" w:rsidP="00516382">
      <w:pPr>
        <w:widowControl w:val="0"/>
        <w:jc w:val="center"/>
        <w:rPr>
          <w:rFonts w:eastAsia="Times New Roman"/>
          <w:b/>
          <w:bCs/>
          <w:sz w:val="24"/>
          <w:szCs w:val="24"/>
          <w:lang w:eastAsia="bg-BG" w:bidi="bg-BG"/>
        </w:rPr>
      </w:pPr>
      <w:r w:rsidRPr="003E1A4E">
        <w:rPr>
          <w:rFonts w:eastAsia="Times New Roman"/>
          <w:bCs/>
          <w:i/>
          <w:sz w:val="24"/>
          <w:szCs w:val="24"/>
          <w:lang w:eastAsia="bg-BG" w:bidi="bg-BG"/>
        </w:rPr>
        <w:t xml:space="preserve">За обществена поръчка с предмет: </w:t>
      </w:r>
      <w:r w:rsidRPr="003E1A4E">
        <w:rPr>
          <w:rFonts w:eastAsia="Times New Roman"/>
          <w:b/>
          <w:bCs/>
          <w:sz w:val="24"/>
          <w:szCs w:val="24"/>
          <w:lang w:eastAsia="bg-BG" w:bidi="bg-BG"/>
        </w:rPr>
        <w:t xml:space="preserve"> „Предоставяне на далекосъобщителни услуги от лицензиран оператор за нуждите на Тракийски университет гр. Стара Загора и за извършване на специализирани доставки и услуги свързани с тази дейност“.</w:t>
      </w:r>
    </w:p>
    <w:p w:rsidR="00516382" w:rsidRPr="003E1A4E" w:rsidRDefault="00516382" w:rsidP="00516382">
      <w:pPr>
        <w:widowControl w:val="0"/>
        <w:jc w:val="center"/>
        <w:rPr>
          <w:rFonts w:eastAsia="Times New Roman"/>
          <w:b/>
          <w:bCs/>
          <w:sz w:val="24"/>
          <w:szCs w:val="24"/>
          <w:lang w:eastAsia="bg-BG" w:bidi="bg-BG"/>
        </w:rPr>
      </w:pPr>
    </w:p>
    <w:p w:rsidR="00516382" w:rsidRPr="003E1A4E" w:rsidRDefault="00516382" w:rsidP="00516382">
      <w:pPr>
        <w:widowControl w:val="0"/>
        <w:jc w:val="both"/>
        <w:rPr>
          <w:rFonts w:eastAsia="Times New Roman"/>
          <w:b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b/>
          <w:iCs/>
          <w:sz w:val="24"/>
          <w:szCs w:val="24"/>
          <w:lang w:eastAsia="bg-BG" w:bidi="bg-BG"/>
        </w:rPr>
        <w:t>I. Обща информация</w:t>
      </w:r>
    </w:p>
    <w:p w:rsidR="00516382" w:rsidRPr="003E1A4E" w:rsidRDefault="00516382" w:rsidP="00516382">
      <w:pPr>
        <w:widowControl w:val="0"/>
        <w:jc w:val="both"/>
        <w:rPr>
          <w:rFonts w:eastAsia="Times New Roman"/>
          <w:sz w:val="24"/>
          <w:szCs w:val="24"/>
          <w:lang w:eastAsia="bg-BG" w:bidi="bg-BG"/>
        </w:rPr>
      </w:pPr>
      <w:r w:rsidRPr="003E1A4E">
        <w:rPr>
          <w:rFonts w:eastAsia="Times New Roman"/>
          <w:sz w:val="24"/>
          <w:szCs w:val="24"/>
          <w:lang w:eastAsia="bg-BG" w:bidi="bg-BG"/>
        </w:rPr>
        <w:t xml:space="preserve">Предметът на обществената поръчка e: </w:t>
      </w:r>
      <w:r w:rsidRPr="003E1A4E">
        <w:rPr>
          <w:b/>
          <w:sz w:val="24"/>
          <w:szCs w:val="24"/>
        </w:rPr>
        <w:t>„Предоставяне на далекосъобщителни услуги от лицензиран оператор за нуждите на Тракийски университет гр. Стара Загора и за извършване на специализирани доставки и услуги свързани с тази дейност“.</w:t>
      </w:r>
    </w:p>
    <w:p w:rsidR="00516382" w:rsidRPr="003E1A4E" w:rsidRDefault="00516382" w:rsidP="00516382">
      <w:pPr>
        <w:widowControl w:val="0"/>
        <w:jc w:val="both"/>
        <w:rPr>
          <w:rFonts w:eastAsia="Times New Roman"/>
          <w:sz w:val="24"/>
          <w:szCs w:val="24"/>
          <w:lang w:eastAsia="bg-BG" w:bidi="bg-BG"/>
        </w:rPr>
      </w:pPr>
      <w:r w:rsidRPr="003E1A4E">
        <w:rPr>
          <w:rFonts w:eastAsia="Times New Roman"/>
          <w:sz w:val="24"/>
          <w:szCs w:val="24"/>
          <w:lang w:eastAsia="bg-BG" w:bidi="bg-BG"/>
        </w:rPr>
        <w:t>Той включва две обособени позиции:</w:t>
      </w:r>
    </w:p>
    <w:p w:rsidR="00516382" w:rsidRPr="00FD13A2" w:rsidRDefault="00516382" w:rsidP="00516382">
      <w:pPr>
        <w:widowControl w:val="0"/>
        <w:jc w:val="both"/>
        <w:rPr>
          <w:rFonts w:eastAsia="Times New Roman"/>
          <w:bCs/>
          <w:sz w:val="24"/>
          <w:szCs w:val="24"/>
          <w:lang w:eastAsia="bg-BG" w:bidi="bg-BG"/>
        </w:rPr>
      </w:pPr>
      <w:r w:rsidRPr="00FD13A2">
        <w:rPr>
          <w:caps/>
          <w:sz w:val="24"/>
          <w:szCs w:val="24"/>
        </w:rPr>
        <w:t xml:space="preserve">№ </w:t>
      </w:r>
      <w:r w:rsidRPr="00FD13A2">
        <w:rPr>
          <w:caps/>
          <w:sz w:val="24"/>
          <w:szCs w:val="24"/>
          <w:lang w:val="en-US"/>
        </w:rPr>
        <w:t>1</w:t>
      </w:r>
      <w:r w:rsidRPr="00FD13A2">
        <w:rPr>
          <w:caps/>
          <w:sz w:val="24"/>
          <w:szCs w:val="24"/>
        </w:rPr>
        <w:t xml:space="preserve"> „</w:t>
      </w:r>
      <w:r w:rsidRPr="00FD13A2">
        <w:rPr>
          <w:sz w:val="24"/>
          <w:szCs w:val="24"/>
        </w:rPr>
        <w:t>Осигуряване на цифрова мобилна телефонна връзка по стандарт GSM/UMTS заедно с определен пакет от допълнителни гласови услуги, SMS, MMS, Internet и други услуги организирани в една корпоративна група“</w:t>
      </w:r>
    </w:p>
    <w:p w:rsidR="00EF149E" w:rsidRDefault="00516382" w:rsidP="00FD13A2">
      <w:pPr>
        <w:widowControl w:val="0"/>
        <w:jc w:val="both"/>
        <w:rPr>
          <w:sz w:val="24"/>
          <w:szCs w:val="24"/>
          <w:lang w:bidi="bg-BG"/>
        </w:rPr>
      </w:pPr>
      <w:r w:rsidRPr="00FD13A2">
        <w:rPr>
          <w:rFonts w:eastAsia="Times New Roman"/>
          <w:sz w:val="24"/>
          <w:szCs w:val="24"/>
          <w:lang w:bidi="en-US"/>
        </w:rPr>
        <w:t xml:space="preserve">№ 2 </w:t>
      </w:r>
      <w:r w:rsidR="00FD13A2" w:rsidRPr="00FD13A2">
        <w:rPr>
          <w:sz w:val="24"/>
          <w:szCs w:val="24"/>
        </w:rPr>
        <w:t>„</w:t>
      </w:r>
      <w:r w:rsidR="00FD13A2" w:rsidRPr="00FD13A2">
        <w:rPr>
          <w:sz w:val="24"/>
          <w:szCs w:val="24"/>
          <w:lang w:bidi="en-US"/>
        </w:rPr>
        <w:t>О</w:t>
      </w:r>
      <w:r w:rsidR="00FD13A2" w:rsidRPr="00FD13A2">
        <w:rPr>
          <w:sz w:val="24"/>
          <w:szCs w:val="24"/>
          <w:lang w:bidi="bg-BG"/>
        </w:rPr>
        <w:t>сигуряване на фиксирани телефонни връзки с предоставяне на фиксирани гласови услуги заедно с определен пакет от допълнителни гласови и други услуги, в мрежата на избрания изпълнител за географски номера използвани от Възложителя</w:t>
      </w:r>
      <w:r w:rsidR="00FD13A2">
        <w:rPr>
          <w:sz w:val="24"/>
          <w:szCs w:val="24"/>
          <w:lang w:bidi="bg-BG"/>
        </w:rPr>
        <w:t>“</w:t>
      </w:r>
    </w:p>
    <w:p w:rsidR="00036FA9" w:rsidRDefault="00036FA9" w:rsidP="00FD13A2">
      <w:pPr>
        <w:widowControl w:val="0"/>
        <w:jc w:val="both"/>
        <w:rPr>
          <w:sz w:val="24"/>
          <w:szCs w:val="24"/>
          <w:lang w:bidi="bg-BG"/>
        </w:rPr>
      </w:pPr>
    </w:p>
    <w:p w:rsidR="00036FA9" w:rsidRPr="005F1ACC" w:rsidRDefault="00036FA9" w:rsidP="00036FA9">
      <w:pPr>
        <w:widowControl w:val="0"/>
        <w:jc w:val="both"/>
        <w:rPr>
          <w:rFonts w:eastAsia="Times New Roman"/>
          <w:b/>
          <w:iCs/>
          <w:sz w:val="24"/>
          <w:szCs w:val="24"/>
          <w:lang w:val="en-US" w:eastAsia="bg-BG" w:bidi="bg-BG"/>
        </w:rPr>
      </w:pPr>
      <w:r w:rsidRPr="003E1A4E">
        <w:rPr>
          <w:rFonts w:eastAsia="Times New Roman"/>
          <w:b/>
          <w:iCs/>
          <w:sz w:val="24"/>
          <w:szCs w:val="24"/>
          <w:lang w:eastAsia="bg-BG" w:bidi="bg-BG"/>
        </w:rPr>
        <w:t>II. Обхват на поръчката</w:t>
      </w:r>
    </w:p>
    <w:p w:rsidR="00036FA9" w:rsidRPr="003E1A4E" w:rsidRDefault="00036FA9" w:rsidP="00036FA9">
      <w:pPr>
        <w:widowControl w:val="0"/>
        <w:jc w:val="both"/>
        <w:rPr>
          <w:rFonts w:eastAsia="Times New Roman"/>
          <w:sz w:val="24"/>
          <w:szCs w:val="24"/>
          <w:lang w:eastAsia="bg-BG" w:bidi="bg-BG"/>
        </w:rPr>
      </w:pPr>
      <w:r w:rsidRPr="003E1A4E">
        <w:rPr>
          <w:rFonts w:eastAsia="Times New Roman"/>
          <w:sz w:val="24"/>
          <w:szCs w:val="24"/>
          <w:lang w:eastAsia="bg-BG" w:bidi="bg-BG"/>
        </w:rPr>
        <w:t xml:space="preserve">Избраният изпълнител трябва да предлага далекосъобщителни услуги, </w:t>
      </w:r>
      <w:r w:rsidRPr="003E1A4E">
        <w:rPr>
          <w:rFonts w:eastAsia="Times New Roman"/>
          <w:sz w:val="24"/>
          <w:szCs w:val="24"/>
          <w:lang w:bidi="en-US"/>
        </w:rPr>
        <w:t>фиксирани и</w:t>
      </w:r>
      <w:r w:rsidRPr="003E1A4E">
        <w:rPr>
          <w:rFonts w:eastAsia="Times New Roman"/>
          <w:sz w:val="24"/>
          <w:szCs w:val="24"/>
          <w:lang w:eastAsia="bg-BG" w:bidi="bg-BG"/>
        </w:rPr>
        <w:t>/или мобилни.</w:t>
      </w:r>
    </w:p>
    <w:p w:rsidR="00FD13A2" w:rsidRDefault="00FD13A2" w:rsidP="00FD13A2">
      <w:pPr>
        <w:widowControl w:val="0"/>
        <w:jc w:val="both"/>
        <w:rPr>
          <w:sz w:val="24"/>
          <w:szCs w:val="24"/>
          <w:lang w:bidi="bg-BG"/>
        </w:rPr>
      </w:pPr>
    </w:p>
    <w:p w:rsidR="00036FA9" w:rsidRPr="003E1A4E" w:rsidRDefault="00036FA9" w:rsidP="00036FA9">
      <w:pPr>
        <w:widowControl w:val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b/>
          <w:iCs/>
          <w:sz w:val="24"/>
          <w:szCs w:val="24"/>
          <w:lang w:eastAsia="bg-BG" w:bidi="bg-BG"/>
        </w:rPr>
        <w:t xml:space="preserve">III. Изисквания към изпълнението на поръчката за мобилни далекосъобщителни услуги. </w:t>
      </w:r>
      <w:r w:rsidRPr="003E1A4E">
        <w:rPr>
          <w:rFonts w:eastAsia="Times New Roman"/>
          <w:iCs/>
          <w:sz w:val="24"/>
          <w:szCs w:val="24"/>
          <w:lang w:eastAsia="bg-BG" w:bidi="bg-BG"/>
        </w:rPr>
        <w:t>Предоставяните услуги от избрания изпълнител трябва да отговарят на следните изисквания на Възложителя и да осигуряват:</w:t>
      </w:r>
    </w:p>
    <w:p w:rsidR="00036FA9" w:rsidRPr="003E1A4E" w:rsidRDefault="00036FA9" w:rsidP="00036FA9">
      <w:pPr>
        <w:widowControl w:val="0"/>
        <w:numPr>
          <w:ilvl w:val="0"/>
          <w:numId w:val="2"/>
        </w:numPr>
        <w:ind w:left="0" w:firstLine="0"/>
        <w:jc w:val="both"/>
        <w:rPr>
          <w:rFonts w:eastAsia="Times New Roman"/>
          <w:sz w:val="24"/>
          <w:szCs w:val="24"/>
          <w:lang w:eastAsia="bg-BG" w:bidi="bg-BG"/>
        </w:rPr>
      </w:pPr>
      <w:r w:rsidRPr="003E1A4E">
        <w:rPr>
          <w:rFonts w:eastAsia="Times New Roman"/>
          <w:sz w:val="24"/>
          <w:szCs w:val="24"/>
          <w:lang w:eastAsia="bg-BG"/>
        </w:rPr>
        <w:t xml:space="preserve">Мобилни електронни съобщителни услуги чрез наземна мрежа по стандарт GSM/UMTS с национално покритие </w:t>
      </w:r>
      <w:r w:rsidRPr="003E1A4E">
        <w:rPr>
          <w:rFonts w:eastAsia="Times New Roman"/>
          <w:bCs/>
          <w:sz w:val="24"/>
          <w:szCs w:val="24"/>
          <w:lang w:eastAsia="bg-BG"/>
        </w:rPr>
        <w:t>за нуждите на Възложителя,</w:t>
      </w:r>
      <w:r w:rsidRPr="003E1A4E">
        <w:rPr>
          <w:rFonts w:eastAsia="Times New Roman"/>
          <w:color w:val="FF0000"/>
          <w:sz w:val="24"/>
          <w:szCs w:val="24"/>
          <w:lang w:eastAsia="bg-BG" w:bidi="bg-BG"/>
        </w:rPr>
        <w:t xml:space="preserve"> </w:t>
      </w:r>
      <w:r w:rsidRPr="003E1A4E">
        <w:rPr>
          <w:rFonts w:eastAsia="Times New Roman"/>
          <w:sz w:val="24"/>
          <w:szCs w:val="24"/>
          <w:lang w:eastAsia="bg-BG" w:bidi="bg-BG"/>
        </w:rPr>
        <w:t xml:space="preserve">стандартни гласови услуги (гласова поща; изчакване и задържане на повикването; пренасочване на повикването; уведомяване за пропуснато повикване ограничаване/забрана на повикванията; </w:t>
      </w:r>
      <w:proofErr w:type="spellStart"/>
      <w:r w:rsidRPr="003E1A4E">
        <w:rPr>
          <w:rFonts w:eastAsia="Times New Roman"/>
          <w:sz w:val="24"/>
          <w:szCs w:val="24"/>
          <w:lang w:eastAsia="bg-BG" w:bidi="bg-BG"/>
        </w:rPr>
        <w:t>конферентна</w:t>
      </w:r>
      <w:proofErr w:type="spellEnd"/>
      <w:r w:rsidRPr="003E1A4E">
        <w:rPr>
          <w:rFonts w:eastAsia="Times New Roman"/>
          <w:sz w:val="24"/>
          <w:szCs w:val="24"/>
          <w:lang w:eastAsia="bg-BG" w:bidi="bg-BG"/>
        </w:rPr>
        <w:t xml:space="preserve"> връзка; идентификация на повикването </w:t>
      </w:r>
      <w:r w:rsidRPr="003E1A4E">
        <w:rPr>
          <w:rFonts w:eastAsia="Times New Roman"/>
          <w:sz w:val="24"/>
          <w:szCs w:val="24"/>
          <w:lang w:bidi="en-US"/>
        </w:rPr>
        <w:t>/CLIP, CLIR/);</w:t>
      </w:r>
    </w:p>
    <w:p w:rsidR="00036FA9" w:rsidRPr="003E1A4E" w:rsidRDefault="00036FA9" w:rsidP="00036FA9">
      <w:pPr>
        <w:pStyle w:val="ListParagraph"/>
        <w:widowControl w:val="0"/>
        <w:numPr>
          <w:ilvl w:val="0"/>
          <w:numId w:val="2"/>
        </w:numPr>
        <w:ind w:left="0" w:firstLine="0"/>
        <w:jc w:val="both"/>
        <w:rPr>
          <w:rFonts w:eastAsia="Times New Roman"/>
          <w:b/>
          <w:i/>
          <w:sz w:val="24"/>
          <w:szCs w:val="24"/>
          <w:lang w:eastAsia="bg-BG" w:bidi="bg-BG"/>
        </w:rPr>
      </w:pPr>
      <w:r w:rsidRPr="003E1A4E">
        <w:rPr>
          <w:rFonts w:eastAsia="Times New Roman"/>
          <w:bCs/>
          <w:sz w:val="24"/>
          <w:szCs w:val="24"/>
          <w:lang w:eastAsia="bg-BG"/>
        </w:rPr>
        <w:t>Валидно разрешение за ползване на ограничен ресурс - номера за предоставяне на обществени електронни съобщения, чрез обществена електронна мрежа с предоставен ограничен ресурс - радиочестотен спектър по стандарт GSM/UMTS с национално покритие.</w:t>
      </w:r>
      <w:r w:rsidRPr="003E1A4E">
        <w:rPr>
          <w:rFonts w:eastAsia="Times New Roman"/>
          <w:b/>
          <w:i/>
          <w:color w:val="FF0000"/>
          <w:sz w:val="24"/>
          <w:szCs w:val="24"/>
          <w:lang w:bidi="en-US"/>
        </w:rPr>
        <w:t xml:space="preserve"> </w:t>
      </w:r>
    </w:p>
    <w:p w:rsidR="00036FA9" w:rsidRPr="003E1A4E" w:rsidRDefault="00036FA9" w:rsidP="00036FA9">
      <w:pPr>
        <w:widowControl w:val="0"/>
        <w:numPr>
          <w:ilvl w:val="0"/>
          <w:numId w:val="2"/>
        </w:numPr>
        <w:ind w:left="0" w:firstLine="0"/>
        <w:jc w:val="both"/>
        <w:rPr>
          <w:rFonts w:eastAsia="Times New Roman"/>
          <w:sz w:val="24"/>
          <w:szCs w:val="24"/>
          <w:lang w:eastAsia="bg-BG" w:bidi="bg-BG"/>
        </w:rPr>
      </w:pPr>
      <w:r w:rsidRPr="003E1A4E">
        <w:rPr>
          <w:rFonts w:eastAsia="Times New Roman"/>
          <w:sz w:val="24"/>
          <w:szCs w:val="24"/>
          <w:lang w:eastAsia="bg-BG" w:bidi="bg-BG"/>
        </w:rPr>
        <w:t>Услуги за осъществяване на спешни повиквания - безплатен достъп на крайните потребители до услугите за спешни повиквания;</w:t>
      </w:r>
    </w:p>
    <w:p w:rsidR="00036FA9" w:rsidRPr="003E1A4E" w:rsidRDefault="00036FA9" w:rsidP="00036FA9">
      <w:pPr>
        <w:widowControl w:val="0"/>
        <w:numPr>
          <w:ilvl w:val="0"/>
          <w:numId w:val="2"/>
        </w:numPr>
        <w:ind w:left="0" w:firstLine="0"/>
        <w:jc w:val="both"/>
        <w:rPr>
          <w:rFonts w:eastAsia="Times New Roman"/>
          <w:sz w:val="24"/>
          <w:szCs w:val="24"/>
          <w:lang w:eastAsia="bg-BG" w:bidi="bg-BG"/>
        </w:rPr>
      </w:pPr>
      <w:r w:rsidRPr="003E1A4E">
        <w:rPr>
          <w:rFonts w:eastAsia="Times New Roman"/>
          <w:sz w:val="24"/>
          <w:szCs w:val="24"/>
          <w:lang w:eastAsia="bg-BG" w:bidi="bg-BG"/>
        </w:rPr>
        <w:t xml:space="preserve">Изпращане и получаване на кратки текстови съобщения </w:t>
      </w:r>
      <w:r w:rsidRPr="003E1A4E">
        <w:rPr>
          <w:rFonts w:eastAsia="Times New Roman"/>
          <w:sz w:val="24"/>
          <w:szCs w:val="24"/>
          <w:lang w:bidi="en-US"/>
        </w:rPr>
        <w:t xml:space="preserve">(SMS) </w:t>
      </w:r>
      <w:r w:rsidRPr="003E1A4E">
        <w:rPr>
          <w:rFonts w:eastAsia="Times New Roman"/>
          <w:sz w:val="24"/>
          <w:szCs w:val="24"/>
          <w:lang w:eastAsia="bg-BG" w:bidi="bg-BG"/>
        </w:rPr>
        <w:t xml:space="preserve">и мултимедийни съобщения </w:t>
      </w:r>
      <w:r w:rsidRPr="003E1A4E">
        <w:rPr>
          <w:rFonts w:eastAsia="Times New Roman"/>
          <w:sz w:val="24"/>
          <w:szCs w:val="24"/>
          <w:lang w:bidi="en-US"/>
        </w:rPr>
        <w:t xml:space="preserve">(MMS) </w:t>
      </w:r>
      <w:r w:rsidRPr="003E1A4E">
        <w:rPr>
          <w:rFonts w:eastAsia="Times New Roman"/>
          <w:sz w:val="24"/>
          <w:szCs w:val="24"/>
          <w:lang w:eastAsia="bg-BG" w:bidi="bg-BG"/>
        </w:rPr>
        <w:t>в мрежата на избрания изпълнител и към и от абонати на други мобилни оператори;</w:t>
      </w:r>
    </w:p>
    <w:p w:rsidR="00036FA9" w:rsidRPr="003E1A4E" w:rsidRDefault="00036FA9" w:rsidP="00036FA9">
      <w:pPr>
        <w:widowControl w:val="0"/>
        <w:numPr>
          <w:ilvl w:val="0"/>
          <w:numId w:val="2"/>
        </w:numPr>
        <w:ind w:left="0" w:firstLine="0"/>
        <w:jc w:val="both"/>
        <w:rPr>
          <w:rFonts w:eastAsia="Times New Roman"/>
          <w:sz w:val="24"/>
          <w:szCs w:val="24"/>
          <w:lang w:eastAsia="bg-BG" w:bidi="bg-BG"/>
        </w:rPr>
      </w:pPr>
      <w:r w:rsidRPr="003E1A4E">
        <w:rPr>
          <w:rFonts w:eastAsia="Times New Roman"/>
          <w:sz w:val="24"/>
          <w:szCs w:val="24"/>
          <w:lang w:eastAsia="bg-BG" w:bidi="bg-BG"/>
        </w:rPr>
        <w:t xml:space="preserve">Международни далекосъобщителни услуги към мобилни и фиксирани мрежи (международен </w:t>
      </w:r>
      <w:proofErr w:type="spellStart"/>
      <w:r w:rsidRPr="003E1A4E">
        <w:rPr>
          <w:rFonts w:eastAsia="Times New Roman"/>
          <w:sz w:val="24"/>
          <w:szCs w:val="24"/>
          <w:lang w:eastAsia="bg-BG" w:bidi="bg-BG"/>
        </w:rPr>
        <w:t>роуминг</w:t>
      </w:r>
      <w:proofErr w:type="spellEnd"/>
      <w:r w:rsidRPr="003E1A4E">
        <w:rPr>
          <w:rFonts w:eastAsia="Times New Roman"/>
          <w:sz w:val="24"/>
          <w:szCs w:val="24"/>
          <w:lang w:eastAsia="bg-BG" w:bidi="bg-BG"/>
        </w:rPr>
        <w:t>);</w:t>
      </w:r>
    </w:p>
    <w:p w:rsidR="00036FA9" w:rsidRPr="003E1A4E" w:rsidRDefault="00036FA9" w:rsidP="00036FA9">
      <w:pPr>
        <w:widowControl w:val="0"/>
        <w:numPr>
          <w:ilvl w:val="0"/>
          <w:numId w:val="2"/>
        </w:numPr>
        <w:ind w:left="0" w:firstLine="0"/>
        <w:jc w:val="both"/>
        <w:rPr>
          <w:rFonts w:eastAsia="Times New Roman"/>
          <w:sz w:val="24"/>
          <w:szCs w:val="24"/>
          <w:lang w:eastAsia="bg-BG" w:bidi="bg-BG"/>
        </w:rPr>
      </w:pPr>
      <w:r w:rsidRPr="003E1A4E">
        <w:rPr>
          <w:rFonts w:eastAsia="Times New Roman"/>
          <w:sz w:val="24"/>
          <w:szCs w:val="24"/>
          <w:lang w:eastAsia="bg-BG" w:bidi="bg-BG"/>
        </w:rPr>
        <w:t xml:space="preserve">Услуги по осигуряване на високоскоростен мобилен интернет достъп, чрез </w:t>
      </w:r>
      <w:r w:rsidRPr="003E1A4E">
        <w:rPr>
          <w:rFonts w:eastAsia="Times New Roman"/>
          <w:sz w:val="24"/>
          <w:szCs w:val="24"/>
          <w:lang w:bidi="en-US"/>
        </w:rPr>
        <w:t xml:space="preserve">(3G) </w:t>
      </w:r>
      <w:r w:rsidRPr="003E1A4E">
        <w:rPr>
          <w:rFonts w:eastAsia="Times New Roman"/>
          <w:sz w:val="24"/>
          <w:szCs w:val="24"/>
          <w:lang w:eastAsia="bg-BG" w:bidi="bg-BG"/>
        </w:rPr>
        <w:t xml:space="preserve">и/или технологии </w:t>
      </w:r>
      <w:r w:rsidRPr="003E1A4E">
        <w:rPr>
          <w:rFonts w:eastAsia="Times New Roman"/>
          <w:sz w:val="24"/>
          <w:szCs w:val="24"/>
          <w:lang w:bidi="en-US"/>
        </w:rPr>
        <w:t xml:space="preserve">UMTS </w:t>
      </w:r>
      <w:r w:rsidRPr="003E1A4E">
        <w:rPr>
          <w:rFonts w:eastAsia="Times New Roman"/>
          <w:sz w:val="24"/>
          <w:szCs w:val="24"/>
          <w:lang w:eastAsia="bg-BG" w:bidi="bg-BG"/>
        </w:rPr>
        <w:t xml:space="preserve">и </w:t>
      </w:r>
      <w:r w:rsidRPr="003E1A4E">
        <w:rPr>
          <w:rFonts w:eastAsia="Times New Roman"/>
          <w:sz w:val="24"/>
          <w:szCs w:val="24"/>
          <w:lang w:bidi="en-US"/>
        </w:rPr>
        <w:t>HSDPA/HSUPA;</w:t>
      </w:r>
    </w:p>
    <w:p w:rsidR="00036FA9" w:rsidRPr="003E1A4E" w:rsidRDefault="00036FA9" w:rsidP="00036FA9">
      <w:pPr>
        <w:widowControl w:val="0"/>
        <w:numPr>
          <w:ilvl w:val="0"/>
          <w:numId w:val="2"/>
        </w:numPr>
        <w:ind w:left="0" w:firstLine="0"/>
        <w:jc w:val="both"/>
        <w:rPr>
          <w:rFonts w:eastAsia="Times New Roman"/>
          <w:sz w:val="24"/>
          <w:szCs w:val="24"/>
          <w:lang w:eastAsia="bg-BG" w:bidi="bg-BG"/>
        </w:rPr>
      </w:pPr>
      <w:r w:rsidRPr="003E1A4E">
        <w:rPr>
          <w:rFonts w:eastAsia="Times New Roman"/>
          <w:sz w:val="24"/>
          <w:szCs w:val="24"/>
          <w:lang w:eastAsia="bg-BG" w:bidi="bg-BG"/>
        </w:rPr>
        <w:t>Услуга „преносимост на номерата” без такси и заплащане, запазване на номерата на мобилните т</w:t>
      </w:r>
      <w:r>
        <w:rPr>
          <w:rFonts w:eastAsia="Times New Roman"/>
          <w:sz w:val="24"/>
          <w:szCs w:val="24"/>
          <w:lang w:eastAsia="bg-BG" w:bidi="bg-BG"/>
        </w:rPr>
        <w:t>елефони ползвани от Възложителя;</w:t>
      </w:r>
    </w:p>
    <w:p w:rsidR="00036FA9" w:rsidRPr="003E1A4E" w:rsidRDefault="00036FA9" w:rsidP="00036FA9">
      <w:pPr>
        <w:widowControl w:val="0"/>
        <w:shd w:val="clear" w:color="auto" w:fill="FFFFFF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8. </w:t>
      </w:r>
      <w:r w:rsidRPr="003E1A4E">
        <w:rPr>
          <w:rFonts w:eastAsia="Times New Roman"/>
          <w:iCs/>
          <w:sz w:val="24"/>
          <w:szCs w:val="24"/>
          <w:lang w:eastAsia="bg-BG" w:bidi="bg-BG"/>
        </w:rPr>
        <w:tab/>
        <w:t>Да включи в една корпоративна група всички предоставени абонаменти (СИМ карти, както и допълнително предоставените СИМ карти)</w:t>
      </w:r>
      <w:r>
        <w:rPr>
          <w:rFonts w:eastAsia="Times New Roman"/>
          <w:iCs/>
          <w:sz w:val="24"/>
          <w:szCs w:val="24"/>
          <w:lang w:eastAsia="bg-BG" w:bidi="bg-BG"/>
        </w:rPr>
        <w:t>;</w:t>
      </w:r>
    </w:p>
    <w:p w:rsidR="00036FA9" w:rsidRPr="003E1A4E" w:rsidRDefault="00036FA9" w:rsidP="00036FA9">
      <w:pPr>
        <w:pStyle w:val="ListParagraph"/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lastRenderedPageBreak/>
        <w:t xml:space="preserve">Пълна свързаност на абонатите на корпоративната група към други мрежи в страната и чужбина - фиксирани и мобилни; максимална свързаност на територията на Република България; максимална възможност за ползване на </w:t>
      </w:r>
      <w:proofErr w:type="spellStart"/>
      <w:r w:rsidRPr="003E1A4E">
        <w:rPr>
          <w:rFonts w:eastAsia="Times New Roman"/>
          <w:iCs/>
          <w:sz w:val="24"/>
          <w:szCs w:val="24"/>
          <w:lang w:eastAsia="bg-BG" w:bidi="bg-BG"/>
        </w:rPr>
        <w:t>роуминг</w:t>
      </w:r>
      <w:proofErr w:type="spellEnd"/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 и максимална възможност за достъп до мобилен интернет в страната и чужбина;</w:t>
      </w:r>
    </w:p>
    <w:p w:rsidR="00036FA9" w:rsidRPr="003E1A4E" w:rsidRDefault="00036FA9" w:rsidP="00036FA9">
      <w:pPr>
        <w:pStyle w:val="ListParagraph"/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>Мобилната мрежата на кандидата за предоставяне на услугата, да има покритие на територията на Тракийски университет и</w:t>
      </w:r>
      <w:r>
        <w:rPr>
          <w:rFonts w:eastAsia="Times New Roman"/>
          <w:iCs/>
          <w:sz w:val="24"/>
          <w:szCs w:val="24"/>
          <w:lang w:eastAsia="bg-BG" w:bidi="bg-BG"/>
        </w:rPr>
        <w:t xml:space="preserve"> изнесените звена;</w:t>
      </w:r>
    </w:p>
    <w:p w:rsidR="00036FA9" w:rsidRPr="003E1A4E" w:rsidRDefault="00036FA9" w:rsidP="00036FA9">
      <w:pPr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>Възможност за прехвърляне и преносимост на мобилните номера на Възложителя,  без заплащане на допълнителни такси за това; безплатна доставка и регистрация на всички СИМ карти за гласова връзка и данни - първоначално и при добавяне на нови;</w:t>
      </w:r>
    </w:p>
    <w:p w:rsidR="00036FA9" w:rsidRPr="003E1A4E" w:rsidRDefault="00036FA9" w:rsidP="00036FA9">
      <w:pPr>
        <w:pStyle w:val="ListParagraph"/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Преиздаване на открадната, загубена или </w:t>
      </w:r>
      <w:proofErr w:type="spellStart"/>
      <w:r w:rsidRPr="003E1A4E">
        <w:rPr>
          <w:rFonts w:eastAsia="Times New Roman"/>
          <w:iCs/>
          <w:sz w:val="24"/>
          <w:szCs w:val="24"/>
          <w:lang w:eastAsia="bg-BG" w:bidi="bg-BG"/>
        </w:rPr>
        <w:t>дефектирала</w:t>
      </w:r>
      <w:proofErr w:type="spellEnd"/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 карта или необходимост от промяна на нейния формат </w:t>
      </w:r>
      <w:proofErr w:type="spellStart"/>
      <w:r w:rsidRPr="003E1A4E">
        <w:rPr>
          <w:rFonts w:eastAsia="Times New Roman"/>
          <w:iCs/>
          <w:sz w:val="24"/>
          <w:szCs w:val="24"/>
          <w:lang w:eastAsia="bg-BG" w:bidi="bg-BG"/>
        </w:rPr>
        <w:t>Mini</w:t>
      </w:r>
      <w:proofErr w:type="spellEnd"/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, </w:t>
      </w:r>
      <w:proofErr w:type="spellStart"/>
      <w:r w:rsidRPr="003E1A4E">
        <w:rPr>
          <w:rFonts w:eastAsia="Times New Roman"/>
          <w:iCs/>
          <w:sz w:val="24"/>
          <w:szCs w:val="24"/>
          <w:lang w:eastAsia="bg-BG" w:bidi="bg-BG"/>
        </w:rPr>
        <w:t>Micro</w:t>
      </w:r>
      <w:proofErr w:type="spellEnd"/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, </w:t>
      </w:r>
      <w:proofErr w:type="spellStart"/>
      <w:r w:rsidRPr="003E1A4E">
        <w:rPr>
          <w:rFonts w:eastAsia="Times New Roman"/>
          <w:iCs/>
          <w:sz w:val="24"/>
          <w:szCs w:val="24"/>
          <w:lang w:eastAsia="bg-BG" w:bidi="bg-BG"/>
        </w:rPr>
        <w:t>Nano</w:t>
      </w:r>
      <w:proofErr w:type="spellEnd"/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 - безплатно, независимо от кратността на преиздаване, и в срок до 2 часа от заявяване на събитието;</w:t>
      </w:r>
    </w:p>
    <w:p w:rsidR="00036FA9" w:rsidRPr="003E1A4E" w:rsidRDefault="00036FA9" w:rsidP="00036FA9">
      <w:pPr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>Възможност за безусловно определяне на индивидуален лимит (кредитен лимит) на СИМ картите от Възложителя, без заплащане на допълнителни такси за активиране на услугата. Известяване при дост</w:t>
      </w:r>
      <w:r>
        <w:rPr>
          <w:rFonts w:eastAsia="Times New Roman"/>
          <w:iCs/>
          <w:sz w:val="24"/>
          <w:szCs w:val="24"/>
          <w:lang w:eastAsia="bg-BG" w:bidi="bg-BG"/>
        </w:rPr>
        <w:t>игане на 80% от кредитния лимит;</w:t>
      </w:r>
    </w:p>
    <w:p w:rsidR="00036FA9" w:rsidRPr="003E1A4E" w:rsidRDefault="00036FA9" w:rsidP="00036FA9">
      <w:pPr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По заявка на възложителя, индивидуално активиране и деактивиране достъпа на всяка една СИМ карта от корпоративната група до различни услуги като </w:t>
      </w:r>
      <w:proofErr w:type="spellStart"/>
      <w:r w:rsidRPr="003E1A4E">
        <w:rPr>
          <w:rFonts w:eastAsia="Times New Roman"/>
          <w:iCs/>
          <w:sz w:val="24"/>
          <w:szCs w:val="24"/>
          <w:lang w:eastAsia="bg-BG" w:bidi="bg-BG"/>
        </w:rPr>
        <w:t>Роуминг</w:t>
      </w:r>
      <w:proofErr w:type="spellEnd"/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, </w:t>
      </w:r>
      <w:r w:rsidRPr="003E1A4E">
        <w:rPr>
          <w:rFonts w:eastAsia="Times New Roman"/>
          <w:iCs/>
          <w:sz w:val="24"/>
          <w:szCs w:val="24"/>
          <w:lang w:eastAsia="bg-BG" w:bidi="en-US"/>
        </w:rPr>
        <w:t xml:space="preserve">MMS, Мобилен интернет, </w:t>
      </w:r>
      <w:r w:rsidRPr="003E1A4E">
        <w:rPr>
          <w:rFonts w:eastAsia="Times New Roman"/>
          <w:iCs/>
          <w:sz w:val="24"/>
          <w:szCs w:val="24"/>
          <w:lang w:eastAsia="bg-BG" w:bidi="bg-BG"/>
        </w:rPr>
        <w:t>Гласова поща,</w:t>
      </w:r>
      <w:r w:rsidRPr="003E1A4E">
        <w:rPr>
          <w:rFonts w:eastAsia="Times New Roman"/>
          <w:iCs/>
          <w:sz w:val="24"/>
          <w:szCs w:val="24"/>
          <w:lang w:eastAsia="bg-BG" w:bidi="en-US"/>
        </w:rPr>
        <w:t xml:space="preserve"> </w:t>
      </w:r>
      <w:r w:rsidRPr="003E1A4E">
        <w:rPr>
          <w:rFonts w:eastAsia="Times New Roman"/>
          <w:iCs/>
          <w:sz w:val="24"/>
          <w:szCs w:val="24"/>
          <w:lang w:eastAsia="bg-BG" w:bidi="bg-BG"/>
        </w:rPr>
        <w:t>и други, без заплащане на допълнителни такси;</w:t>
      </w:r>
    </w:p>
    <w:p w:rsidR="00036FA9" w:rsidRPr="003E1A4E" w:rsidRDefault="00036FA9" w:rsidP="00036FA9">
      <w:pPr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>Безплатно предоставяне на изгубен ПИН и ПУК, независимо от кратността на заявката за една и съща СИМ;</w:t>
      </w:r>
    </w:p>
    <w:p w:rsidR="00036FA9" w:rsidRPr="003E1A4E" w:rsidRDefault="00036FA9" w:rsidP="00036FA9">
      <w:pPr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>Възможност за промяна на тарифен план на СИМ карта от корпоративната група на Възложителя от по-висок към по-нисък и обратно без удължаване срока на договор и без наказателни такси и лихви;</w:t>
      </w:r>
    </w:p>
    <w:p w:rsidR="00036FA9" w:rsidRPr="003E1A4E" w:rsidRDefault="00036FA9" w:rsidP="00036FA9">
      <w:pPr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При заявяване на нови СИМ карти, срокът им на договор да е с крайна дата, еднаква с датата на изтичане на сключения основен договор; </w:t>
      </w:r>
    </w:p>
    <w:p w:rsidR="00036FA9" w:rsidRPr="003E1A4E" w:rsidRDefault="00036FA9" w:rsidP="00036FA9">
      <w:pPr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Предоставяне на подробно месечно извлечение, вкл. фактура, както на електронен, така и на хартиен носител - по отделно по клиентски номера и услуги за Тракийски университет. Фактурите и месечните извлечения да съдържат информация за период на фактуриране; месечни абонаментни такси; изразходвани безплатни минути (ако има такива) - калкулирани поотделно по направления; ползвани допълнителни услуги - вид и стойност на услугата; продължителност и стойност на проведените телефонни разговори извън безплатните минути според вида им - към фиксирани оператори, разговори в </w:t>
      </w:r>
      <w:proofErr w:type="spellStart"/>
      <w:r w:rsidRPr="003E1A4E">
        <w:rPr>
          <w:rFonts w:eastAsia="Times New Roman"/>
          <w:iCs/>
          <w:sz w:val="24"/>
          <w:szCs w:val="24"/>
          <w:lang w:eastAsia="bg-BG" w:bidi="bg-BG"/>
        </w:rPr>
        <w:t>роуминг</w:t>
      </w:r>
      <w:proofErr w:type="spellEnd"/>
      <w:r w:rsidRPr="003E1A4E">
        <w:rPr>
          <w:rFonts w:eastAsia="Times New Roman"/>
          <w:iCs/>
          <w:sz w:val="24"/>
          <w:szCs w:val="24"/>
          <w:lang w:eastAsia="bg-BG" w:bidi="bg-BG"/>
        </w:rPr>
        <w:t>, международни разговори, към други мобилни мрежи /поотделно/.</w:t>
      </w:r>
    </w:p>
    <w:p w:rsidR="00036FA9" w:rsidRPr="003E1A4E" w:rsidRDefault="00036FA9" w:rsidP="00036FA9">
      <w:pPr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bCs/>
          <w:iCs/>
          <w:sz w:val="24"/>
          <w:szCs w:val="24"/>
          <w:lang w:eastAsia="bg-BG" w:bidi="bg-BG"/>
        </w:rPr>
      </w:pPr>
      <w:bookmarkStart w:id="0" w:name="_GoBack"/>
      <w:bookmarkEnd w:id="0"/>
      <w:r w:rsidRPr="003E1A4E">
        <w:rPr>
          <w:rFonts w:eastAsia="Times New Roman"/>
          <w:bCs/>
          <w:iCs/>
          <w:sz w:val="24"/>
          <w:szCs w:val="24"/>
          <w:lang w:eastAsia="bg-BG" w:bidi="bg-BG"/>
        </w:rPr>
        <w:t>Изпълнителят се задължава по всяко време от срока на действие на договора и след изрично писмено уведомление от Възложителя при структурни промени или при напускане или назначаване на служители, да извърши промяна на броя на СИМ карти</w:t>
      </w:r>
      <w:r>
        <w:rPr>
          <w:rFonts w:eastAsia="Times New Roman"/>
          <w:bCs/>
          <w:iCs/>
          <w:sz w:val="24"/>
          <w:szCs w:val="24"/>
          <w:lang w:eastAsia="bg-BG" w:bidi="bg-BG"/>
        </w:rPr>
        <w:t>,</w:t>
      </w:r>
      <w:r w:rsidRPr="003E1A4E">
        <w:rPr>
          <w:rFonts w:eastAsia="Times New Roman"/>
          <w:bCs/>
          <w:iCs/>
          <w:sz w:val="24"/>
          <w:szCs w:val="24"/>
          <w:lang w:eastAsia="bg-BG" w:bidi="bg-BG"/>
        </w:rPr>
        <w:t xml:space="preserve"> предмет на договора (увеличаване, намаляване или отказ и прехвърляне на трето външно лице - друго ведомство, фирма, външна организация или на физическото лице, ползващо СИМ картата, при изрично съгласие за това на третото лице), без начисляване на неустойки и други допълнителни такси на Възложителя.</w:t>
      </w:r>
    </w:p>
    <w:p w:rsidR="00036FA9" w:rsidRPr="003E1A4E" w:rsidRDefault="00036FA9" w:rsidP="00036FA9">
      <w:pPr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>Изискване на Възложителя</w:t>
      </w:r>
      <w:r>
        <w:rPr>
          <w:rFonts w:eastAsia="Times New Roman"/>
          <w:iCs/>
          <w:sz w:val="24"/>
          <w:szCs w:val="24"/>
          <w:lang w:eastAsia="bg-BG" w:bidi="bg-BG"/>
        </w:rPr>
        <w:t xml:space="preserve"> е,</w:t>
      </w:r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 към таксуването на продължителността на разговорите и на предложените безплатни минути </w:t>
      </w:r>
      <w:r>
        <w:rPr>
          <w:rFonts w:eastAsia="Times New Roman"/>
          <w:iCs/>
          <w:sz w:val="24"/>
          <w:szCs w:val="24"/>
          <w:lang w:eastAsia="bg-BG" w:bidi="bg-BG"/>
        </w:rPr>
        <w:t xml:space="preserve">- </w:t>
      </w:r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максималният период на първоначално таксуване да е равен на </w:t>
      </w:r>
      <w:r>
        <w:rPr>
          <w:rFonts w:eastAsia="Times New Roman"/>
          <w:iCs/>
          <w:sz w:val="24"/>
          <w:szCs w:val="24"/>
          <w:lang w:eastAsia="bg-BG" w:bidi="bg-BG"/>
        </w:rPr>
        <w:t>6</w:t>
      </w:r>
      <w:r w:rsidRPr="003E1A4E">
        <w:rPr>
          <w:rFonts w:eastAsia="Times New Roman"/>
          <w:iCs/>
          <w:sz w:val="24"/>
          <w:szCs w:val="24"/>
          <w:lang w:eastAsia="bg-BG" w:bidi="bg-BG"/>
        </w:rPr>
        <w:t>0 секунди,</w:t>
      </w:r>
      <w:r>
        <w:rPr>
          <w:rFonts w:eastAsia="Times New Roman"/>
          <w:iCs/>
          <w:sz w:val="24"/>
          <w:szCs w:val="24"/>
          <w:lang w:eastAsia="bg-BG" w:bidi="bg-BG"/>
        </w:rPr>
        <w:t xml:space="preserve"> </w:t>
      </w:r>
      <w:r w:rsidRPr="003E1A4E">
        <w:rPr>
          <w:rFonts w:eastAsia="Times New Roman"/>
          <w:iCs/>
          <w:sz w:val="24"/>
          <w:szCs w:val="24"/>
          <w:lang w:eastAsia="bg-BG" w:bidi="bg-BG"/>
        </w:rPr>
        <w:t>след това таксуването да се извършва на всяка секунда.</w:t>
      </w:r>
    </w:p>
    <w:p w:rsidR="00036FA9" w:rsidRPr="003E1A4E" w:rsidRDefault="00036FA9" w:rsidP="00036FA9">
      <w:pPr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Недопустимо е начисляването на първоначална такса свързване на предложените безплатни минути, както и след изчерпването им, вкл. при провеждането на разговори в </w:t>
      </w:r>
      <w:proofErr w:type="spellStart"/>
      <w:r w:rsidRPr="003E1A4E">
        <w:rPr>
          <w:rFonts w:eastAsia="Times New Roman"/>
          <w:iCs/>
          <w:sz w:val="24"/>
          <w:szCs w:val="24"/>
          <w:lang w:eastAsia="bg-BG" w:bidi="bg-BG"/>
        </w:rPr>
        <w:lastRenderedPageBreak/>
        <w:t>роуминг</w:t>
      </w:r>
      <w:proofErr w:type="spellEnd"/>
      <w:r w:rsidRPr="003E1A4E">
        <w:rPr>
          <w:rFonts w:eastAsia="Times New Roman"/>
          <w:iCs/>
          <w:sz w:val="24"/>
          <w:szCs w:val="24"/>
          <w:lang w:eastAsia="bg-BG" w:bidi="bg-BG"/>
        </w:rPr>
        <w:t>, международни разговори и/или такива към мобилни мрежи.</w:t>
      </w:r>
    </w:p>
    <w:p w:rsidR="00036FA9" w:rsidRDefault="00036FA9" w:rsidP="00036FA9">
      <w:pPr>
        <w:pStyle w:val="ListParagraph"/>
        <w:ind w:left="0"/>
        <w:jc w:val="both"/>
        <w:rPr>
          <w:bCs/>
          <w:sz w:val="24"/>
          <w:szCs w:val="24"/>
        </w:rPr>
      </w:pPr>
    </w:p>
    <w:p w:rsidR="00770304" w:rsidRPr="003E1A4E" w:rsidRDefault="00770304" w:rsidP="00770304">
      <w:pPr>
        <w:widowControl w:val="0"/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3E1A4E">
        <w:rPr>
          <w:rFonts w:eastAsia="Times New Roman"/>
          <w:b/>
          <w:iCs/>
          <w:sz w:val="24"/>
          <w:szCs w:val="24"/>
          <w:lang w:eastAsia="bg-BG" w:bidi="bg-BG"/>
        </w:rPr>
        <w:t>III. Изисквания към изпълнението на поръчката за фиксираните далекосъобщителни услуги</w:t>
      </w:r>
      <w:r w:rsidRPr="003E1A4E">
        <w:rPr>
          <w:rFonts w:eastAsia="Times New Roman"/>
          <w:iCs/>
          <w:sz w:val="24"/>
          <w:szCs w:val="24"/>
          <w:lang w:eastAsia="bg-BG" w:bidi="bg-BG"/>
        </w:rPr>
        <w:t>. Предоставяните услуги от избрания изпълнител трябва да отговарят на следните изисквания на Възложителя и да осигуряват:</w:t>
      </w:r>
    </w:p>
    <w:p w:rsidR="00770304" w:rsidRDefault="00770304" w:rsidP="0077030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Courier New"/>
          <w:bCs/>
          <w:color w:val="000000"/>
          <w:sz w:val="24"/>
          <w:szCs w:val="24"/>
          <w:lang w:eastAsia="bg-BG" w:bidi="bg-BG"/>
        </w:rPr>
      </w:pPr>
      <w:r w:rsidRPr="00C62486">
        <w:rPr>
          <w:rFonts w:eastAsia="Courier New"/>
          <w:bCs/>
          <w:color w:val="000000"/>
          <w:sz w:val="24"/>
          <w:szCs w:val="24"/>
          <w:lang w:eastAsia="bg-BG" w:bidi="bg-BG"/>
        </w:rPr>
        <w:t xml:space="preserve">Да се осигурява пренос на глас в реално време за осъществяване на национални и международни разговори, както в мрежата на доставчика, така и към други мобилни и фиксирани мрежи, използвайки следните интерфейси: POTS, </w:t>
      </w:r>
      <w:r w:rsidRPr="00C62486">
        <w:rPr>
          <w:rFonts w:eastAsia="Times New Roman"/>
          <w:iCs/>
          <w:sz w:val="24"/>
          <w:szCs w:val="24"/>
          <w:lang w:eastAsia="bg-BG" w:bidi="bg-BG"/>
        </w:rPr>
        <w:t xml:space="preserve">PABX Access </w:t>
      </w:r>
      <w:proofErr w:type="spellStart"/>
      <w:r w:rsidRPr="00C62486">
        <w:rPr>
          <w:rFonts w:eastAsia="Times New Roman"/>
          <w:iCs/>
          <w:sz w:val="24"/>
          <w:szCs w:val="24"/>
          <w:lang w:eastAsia="bg-BG" w:bidi="bg-BG"/>
        </w:rPr>
        <w:t>Line</w:t>
      </w:r>
      <w:proofErr w:type="spellEnd"/>
      <w:r w:rsidRPr="00C62486">
        <w:rPr>
          <w:rFonts w:eastAsia="Times New Roman"/>
          <w:iCs/>
          <w:sz w:val="24"/>
          <w:szCs w:val="24"/>
          <w:lang w:eastAsia="bg-BG" w:bidi="bg-BG"/>
        </w:rPr>
        <w:t>,</w:t>
      </w:r>
      <w:r w:rsidRPr="00C62486">
        <w:rPr>
          <w:rFonts w:eastAsia="Courier New"/>
          <w:bCs/>
          <w:color w:val="000000"/>
          <w:sz w:val="24"/>
          <w:szCs w:val="24"/>
          <w:lang w:eastAsia="bg-BG" w:bidi="bg-BG"/>
        </w:rPr>
        <w:t xml:space="preserve"> ISDN PRA и R2D. Адресите и използваните интерфейси за предоставяне на фиксираната услуга са посочени в Таблица № 1.</w:t>
      </w:r>
    </w:p>
    <w:p w:rsidR="00770304" w:rsidRDefault="00770304" w:rsidP="0077030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Courier New"/>
          <w:bCs/>
          <w:color w:val="000000"/>
          <w:sz w:val="24"/>
          <w:szCs w:val="24"/>
          <w:lang w:eastAsia="bg-BG" w:bidi="bg-BG"/>
        </w:rPr>
      </w:pPr>
      <w:r w:rsidRPr="00C62486">
        <w:rPr>
          <w:rFonts w:eastAsia="Courier New"/>
          <w:bCs/>
          <w:color w:val="000000"/>
          <w:sz w:val="24"/>
          <w:szCs w:val="24"/>
          <w:lang w:eastAsia="bg-BG" w:bidi="bg-BG"/>
        </w:rPr>
        <w:t>Всички фиксирани телефонни номера използвани от Възложителя независимо от използвания интерфейс са Географски номера по смисъла на § 1, т. 6 от Допълнителната разпоредба на За</w:t>
      </w:r>
      <w:r>
        <w:rPr>
          <w:rFonts w:eastAsia="Courier New"/>
          <w:bCs/>
          <w:color w:val="000000"/>
          <w:sz w:val="24"/>
          <w:szCs w:val="24"/>
          <w:lang w:eastAsia="bg-BG" w:bidi="bg-BG"/>
        </w:rPr>
        <w:t>кона за електронните съобщения.</w:t>
      </w:r>
    </w:p>
    <w:p w:rsidR="00770304" w:rsidRPr="00754CD7" w:rsidRDefault="00770304" w:rsidP="0077030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  <w:lang w:eastAsia="bg-BG" w:bidi="bg-BG"/>
        </w:rPr>
      </w:pPr>
      <w:r w:rsidRPr="00754CD7">
        <w:rPr>
          <w:rFonts w:eastAsia="Courier New"/>
          <w:bCs/>
          <w:color w:val="000000"/>
          <w:sz w:val="24"/>
          <w:szCs w:val="24"/>
          <w:lang w:eastAsia="bg-BG" w:bidi="bg-BG"/>
        </w:rPr>
        <w:t>Възможност за осъществяване на входящи и изходящи гласови телефонни и факс обаждания от и към крайни потребители на всички мобилни, наземни и други национални фиксирани мрежи.</w:t>
      </w:r>
    </w:p>
    <w:p w:rsidR="00770304" w:rsidRPr="00754CD7" w:rsidRDefault="00770304" w:rsidP="0077030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Courier New"/>
          <w:bCs/>
          <w:color w:val="000000"/>
          <w:sz w:val="24"/>
          <w:szCs w:val="24"/>
          <w:lang w:eastAsia="bg-BG" w:bidi="bg-BG"/>
        </w:rPr>
      </w:pPr>
      <w:r w:rsidRPr="00754CD7">
        <w:rPr>
          <w:rFonts w:eastAsia="Times New Roman"/>
          <w:sz w:val="24"/>
          <w:szCs w:val="24"/>
          <w:lang w:eastAsia="bg-BG" w:bidi="bg-BG"/>
        </w:rPr>
        <w:t>Услуги за осъществяване на спешни повиквания - безплатен достъп на крайните потребители до услугите за спешни повиквания;</w:t>
      </w:r>
    </w:p>
    <w:p w:rsidR="00770304" w:rsidRDefault="00770304" w:rsidP="0077030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Courier New"/>
          <w:bCs/>
          <w:color w:val="000000"/>
          <w:sz w:val="24"/>
          <w:szCs w:val="24"/>
          <w:lang w:eastAsia="bg-BG" w:bidi="bg-BG"/>
        </w:rPr>
      </w:pPr>
      <w:r w:rsidRPr="00C62486">
        <w:rPr>
          <w:rFonts w:eastAsia="Courier New"/>
          <w:bCs/>
          <w:color w:val="000000"/>
          <w:sz w:val="24"/>
          <w:szCs w:val="24"/>
          <w:lang w:eastAsia="bg-BG" w:bidi="bg-BG"/>
        </w:rPr>
        <w:t>Да осигури възможност за провеждане на разговори с негеографски номера;</w:t>
      </w:r>
    </w:p>
    <w:p w:rsidR="00770304" w:rsidRDefault="00770304" w:rsidP="0077030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Courier New"/>
          <w:bCs/>
          <w:color w:val="000000"/>
          <w:sz w:val="24"/>
          <w:szCs w:val="24"/>
          <w:lang w:eastAsia="bg-BG" w:bidi="bg-BG"/>
        </w:rPr>
      </w:pPr>
      <w:r w:rsidRPr="00C62486">
        <w:rPr>
          <w:rFonts w:eastAsia="Courier New"/>
          <w:bCs/>
          <w:color w:val="000000"/>
          <w:sz w:val="24"/>
          <w:szCs w:val="24"/>
          <w:lang w:eastAsia="bg-BG" w:bidi="bg-BG"/>
        </w:rPr>
        <w:t>Да осигури за своя сметка изграждането на достъпа и оборудването, което да съгласува интерфейса от мрежата на Изпълнителя и наличното оборудване на Възложителя (включително телефонните централи, телефонни апарати), като това изграждане е изцяло за сметка на Изпълнителят, включително неговото инсталиране и конфигуриране, тоест без заплащане на свързаните с това еднократни или месечни такси.</w:t>
      </w:r>
    </w:p>
    <w:p w:rsidR="00770304" w:rsidRDefault="00770304" w:rsidP="0077030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Courier New"/>
          <w:bCs/>
          <w:color w:val="000000"/>
          <w:sz w:val="24"/>
          <w:szCs w:val="24"/>
          <w:lang w:eastAsia="bg-BG" w:bidi="bg-BG"/>
        </w:rPr>
      </w:pPr>
      <w:r w:rsidRPr="00C62486">
        <w:rPr>
          <w:rFonts w:eastAsia="Courier New"/>
          <w:bCs/>
          <w:color w:val="000000"/>
          <w:sz w:val="24"/>
          <w:szCs w:val="24"/>
          <w:lang w:eastAsia="bg-BG" w:bidi="bg-BG"/>
        </w:rPr>
        <w:t>Осигуряване на възможност за включване на УАТЦ с автоматичен вход, като всеки от вътрешните постове на централата да притежава съответстващ географски номер и чрез който да се осъществява свързаност без посредничеството на оператор или гласово интерактивно меню.</w:t>
      </w:r>
    </w:p>
    <w:p w:rsidR="00770304" w:rsidRDefault="00770304" w:rsidP="0077030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Courier New"/>
          <w:bCs/>
          <w:color w:val="000000"/>
          <w:sz w:val="24"/>
          <w:szCs w:val="24"/>
          <w:lang w:eastAsia="bg-BG" w:bidi="bg-BG"/>
        </w:rPr>
      </w:pPr>
      <w:r w:rsidRPr="00C62486">
        <w:rPr>
          <w:rFonts w:eastAsia="Times New Roman"/>
          <w:iCs/>
          <w:sz w:val="24"/>
          <w:szCs w:val="24"/>
          <w:lang w:eastAsia="bg-BG" w:bidi="bg-BG"/>
        </w:rPr>
        <w:t>Услуга „преносимост на номерата”</w:t>
      </w:r>
      <w:r w:rsidRPr="00C62486">
        <w:rPr>
          <w:rFonts w:eastAsia="Courier New"/>
          <w:bCs/>
          <w:color w:val="000000"/>
          <w:sz w:val="24"/>
          <w:szCs w:val="24"/>
          <w:lang w:eastAsia="bg-BG" w:bidi="bg-BG"/>
        </w:rPr>
        <w:t xml:space="preserve"> - Запазване на географските номера при промяна на доставчика и при промяна на адреса (в рамките на едно населено място) на точките на Възложителя, както и възможност за промяна на географски номер и избор на нов такъв, всички изброени за сметка на доставчика.</w:t>
      </w:r>
    </w:p>
    <w:p w:rsidR="00770304" w:rsidRPr="00C62486" w:rsidRDefault="00770304" w:rsidP="0077030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Courier New"/>
          <w:bCs/>
          <w:color w:val="000000"/>
          <w:sz w:val="24"/>
          <w:szCs w:val="24"/>
          <w:lang w:eastAsia="bg-BG" w:bidi="bg-BG"/>
        </w:rPr>
      </w:pPr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Възможност за промяна на тарифен план на </w:t>
      </w:r>
      <w:r>
        <w:rPr>
          <w:rFonts w:eastAsia="Times New Roman"/>
          <w:iCs/>
          <w:sz w:val="24"/>
          <w:szCs w:val="24"/>
          <w:lang w:eastAsia="bg-BG" w:bidi="bg-BG"/>
        </w:rPr>
        <w:t>географски номер</w:t>
      </w:r>
      <w:r w:rsidRPr="003E1A4E">
        <w:rPr>
          <w:rFonts w:eastAsia="Times New Roman"/>
          <w:iCs/>
          <w:sz w:val="24"/>
          <w:szCs w:val="24"/>
          <w:lang w:eastAsia="bg-BG" w:bidi="bg-BG"/>
        </w:rPr>
        <w:t xml:space="preserve"> на Възложителя от по-висок към по-нисък и обратно без удължаване срока на договор и без наказателни такси и лихви</w:t>
      </w:r>
    </w:p>
    <w:p w:rsidR="00770304" w:rsidRPr="003E1A4E" w:rsidRDefault="00770304" w:rsidP="00770304">
      <w:pPr>
        <w:widowControl w:val="0"/>
        <w:shd w:val="clear" w:color="auto" w:fill="FFFFFF"/>
        <w:jc w:val="both"/>
        <w:rPr>
          <w:rFonts w:eastAsia="Times New Roman"/>
          <w:iCs/>
          <w:sz w:val="24"/>
          <w:szCs w:val="24"/>
          <w:lang w:eastAsia="bg-BG" w:bidi="bg-BG"/>
        </w:rPr>
      </w:pPr>
    </w:p>
    <w:p w:rsidR="00770304" w:rsidRDefault="00770304" w:rsidP="00770304">
      <w:pPr>
        <w:widowControl w:val="0"/>
        <w:tabs>
          <w:tab w:val="left" w:pos="735"/>
        </w:tabs>
        <w:jc w:val="both"/>
        <w:rPr>
          <w:rFonts w:eastAsia="Times New Roman"/>
          <w:iCs/>
          <w:sz w:val="24"/>
          <w:szCs w:val="24"/>
          <w:lang w:eastAsia="bg-BG" w:bidi="bg-BG"/>
        </w:rPr>
      </w:pPr>
      <w:r w:rsidRPr="00DF6265">
        <w:rPr>
          <w:rFonts w:eastAsia="Times New Roman"/>
          <w:b/>
          <w:iCs/>
          <w:sz w:val="24"/>
          <w:szCs w:val="24"/>
          <w:lang w:eastAsia="bg-BG" w:bidi="bg-BG"/>
        </w:rPr>
        <w:t>Таблица № 1</w:t>
      </w:r>
      <w:r>
        <w:rPr>
          <w:rFonts w:eastAsia="Times New Roman"/>
          <w:b/>
          <w:iCs/>
          <w:sz w:val="24"/>
          <w:szCs w:val="24"/>
          <w:lang w:eastAsia="bg-BG" w:bidi="bg-BG"/>
        </w:rPr>
        <w:t xml:space="preserve"> - </w:t>
      </w:r>
      <w:r w:rsidRPr="003E1A4E">
        <w:rPr>
          <w:rFonts w:eastAsia="Times New Roman"/>
          <w:iCs/>
          <w:sz w:val="24"/>
          <w:szCs w:val="24"/>
          <w:lang w:eastAsia="bg-BG" w:bidi="bg-BG"/>
        </w:rPr>
        <w:t>Списък на адресите на Възложителя  Тракийски университет за предоставяне на фиксирана телефонна услуга по брой географски  номера и използван интерфейс.</w:t>
      </w:r>
    </w:p>
    <w:p w:rsidR="00770304" w:rsidRDefault="00770304" w:rsidP="00770304">
      <w:pPr>
        <w:widowControl w:val="0"/>
        <w:tabs>
          <w:tab w:val="left" w:pos="735"/>
        </w:tabs>
        <w:jc w:val="both"/>
        <w:rPr>
          <w:rFonts w:eastAsia="Times New Roman"/>
          <w:iCs/>
          <w:sz w:val="24"/>
          <w:szCs w:val="24"/>
          <w:lang w:eastAsia="bg-BG" w:bidi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1560"/>
        <w:gridCol w:w="1966"/>
      </w:tblGrid>
      <w:tr w:rsidR="00770304" w:rsidRPr="003E1A4E" w:rsidTr="0098044E">
        <w:tc>
          <w:tcPr>
            <w:tcW w:w="458" w:type="dxa"/>
          </w:tcPr>
          <w:p w:rsidR="00770304" w:rsidRPr="003E1A4E" w:rsidRDefault="00770304" w:rsidP="0098044E">
            <w:pPr>
              <w:widowControl w:val="0"/>
              <w:jc w:val="center"/>
              <w:rPr>
                <w:rFonts w:eastAsia="Times New Roman"/>
                <w:b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b/>
                <w:iCs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2485" w:type="dxa"/>
          </w:tcPr>
          <w:p w:rsidR="00770304" w:rsidRPr="003E1A4E" w:rsidRDefault="00770304" w:rsidP="0098044E">
            <w:pPr>
              <w:widowControl w:val="0"/>
              <w:jc w:val="center"/>
              <w:rPr>
                <w:rFonts w:eastAsia="Times New Roman"/>
                <w:b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b/>
                <w:sz w:val="24"/>
                <w:szCs w:val="24"/>
              </w:rPr>
              <w:t>Адрес за представяне на фиксираната услуга</w:t>
            </w:r>
          </w:p>
        </w:tc>
        <w:tc>
          <w:tcPr>
            <w:tcW w:w="3402" w:type="dxa"/>
          </w:tcPr>
          <w:p w:rsidR="00770304" w:rsidRPr="003E1A4E" w:rsidRDefault="00770304" w:rsidP="0098044E">
            <w:pPr>
              <w:widowControl w:val="0"/>
              <w:jc w:val="center"/>
              <w:rPr>
                <w:rFonts w:eastAsia="Times New Roman"/>
                <w:b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b/>
                <w:sz w:val="24"/>
                <w:szCs w:val="24"/>
              </w:rPr>
              <w:t>Структурно звено на Тракийски университет</w:t>
            </w:r>
          </w:p>
        </w:tc>
        <w:tc>
          <w:tcPr>
            <w:tcW w:w="1560" w:type="dxa"/>
          </w:tcPr>
          <w:p w:rsidR="00770304" w:rsidRPr="003E1A4E" w:rsidRDefault="00770304" w:rsidP="0098044E">
            <w:pPr>
              <w:widowControl w:val="0"/>
              <w:jc w:val="center"/>
              <w:rPr>
                <w:rFonts w:eastAsia="Times New Roman"/>
                <w:b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b/>
                <w:sz w:val="24"/>
                <w:szCs w:val="24"/>
              </w:rPr>
              <w:t>Брой географски номера</w:t>
            </w:r>
          </w:p>
        </w:tc>
        <w:tc>
          <w:tcPr>
            <w:tcW w:w="1966" w:type="dxa"/>
          </w:tcPr>
          <w:p w:rsidR="00770304" w:rsidRPr="003E1A4E" w:rsidRDefault="00770304" w:rsidP="0098044E">
            <w:pPr>
              <w:widowControl w:val="0"/>
              <w:jc w:val="center"/>
              <w:rPr>
                <w:rFonts w:eastAsia="Times New Roman"/>
                <w:b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b/>
                <w:sz w:val="24"/>
                <w:szCs w:val="24"/>
              </w:rPr>
              <w:t>Интерфейс на оборудването</w:t>
            </w:r>
          </w:p>
        </w:tc>
      </w:tr>
      <w:tr w:rsidR="00770304" w:rsidRPr="003E1A4E" w:rsidTr="0098044E">
        <w:trPr>
          <w:trHeight w:val="253"/>
        </w:trPr>
        <w:tc>
          <w:tcPr>
            <w:tcW w:w="458" w:type="dxa"/>
            <w:vMerge w:val="restart"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2485" w:type="dxa"/>
            <w:vMerge w:val="restart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гр. Стара Загора, Студентски град</w:t>
            </w:r>
          </w:p>
        </w:tc>
        <w:tc>
          <w:tcPr>
            <w:tcW w:w="3402" w:type="dxa"/>
            <w:vMerge w:val="restart"/>
          </w:tcPr>
          <w:p w:rsidR="00770304" w:rsidRPr="00CC3BD9" w:rsidRDefault="00770304" w:rsidP="00770304">
            <w:pPr>
              <w:pStyle w:val="ListParagraph"/>
              <w:numPr>
                <w:ilvl w:val="0"/>
                <w:numId w:val="4"/>
              </w:numPr>
              <w:ind w:left="53" w:hanging="32"/>
              <w:rPr>
                <w:rFonts w:eastAsia="Times New Roman"/>
                <w:sz w:val="24"/>
                <w:szCs w:val="24"/>
              </w:rPr>
            </w:pPr>
            <w:r w:rsidRPr="00CC3BD9">
              <w:rPr>
                <w:rFonts w:eastAsia="Times New Roman"/>
                <w:sz w:val="24"/>
                <w:szCs w:val="24"/>
              </w:rPr>
              <w:t>Ректорат,</w:t>
            </w:r>
          </w:p>
          <w:p w:rsidR="00770304" w:rsidRDefault="00770304" w:rsidP="00770304">
            <w:pPr>
              <w:pStyle w:val="ListParagraph"/>
              <w:numPr>
                <w:ilvl w:val="0"/>
                <w:numId w:val="4"/>
              </w:numPr>
              <w:ind w:left="53" w:hanging="32"/>
              <w:rPr>
                <w:rFonts w:eastAsia="Times New Roman"/>
                <w:sz w:val="24"/>
                <w:szCs w:val="24"/>
              </w:rPr>
            </w:pPr>
            <w:r w:rsidRPr="00CC3BD9">
              <w:rPr>
                <w:rFonts w:eastAsia="Times New Roman"/>
                <w:sz w:val="24"/>
                <w:szCs w:val="24"/>
              </w:rPr>
              <w:t>Аграрен Факултет,</w:t>
            </w:r>
          </w:p>
          <w:p w:rsidR="00770304" w:rsidRDefault="00770304" w:rsidP="00770304">
            <w:pPr>
              <w:pStyle w:val="ListParagraph"/>
              <w:numPr>
                <w:ilvl w:val="0"/>
                <w:numId w:val="4"/>
              </w:numPr>
              <w:ind w:left="53" w:hanging="32"/>
              <w:rPr>
                <w:rFonts w:eastAsia="Times New Roman"/>
                <w:sz w:val="24"/>
                <w:szCs w:val="24"/>
              </w:rPr>
            </w:pPr>
            <w:r w:rsidRPr="00CC3BD9">
              <w:rPr>
                <w:rFonts w:eastAsia="Times New Roman"/>
                <w:sz w:val="24"/>
                <w:szCs w:val="24"/>
              </w:rPr>
              <w:t>Ветеринарномедицинск</w:t>
            </w:r>
            <w:r w:rsidRPr="00CC3BD9">
              <w:rPr>
                <w:rFonts w:eastAsia="Times New Roman"/>
                <w:sz w:val="24"/>
                <w:szCs w:val="24"/>
              </w:rPr>
              <w:lastRenderedPageBreak/>
              <w:t>и Факултет,</w:t>
            </w:r>
          </w:p>
          <w:p w:rsidR="00770304" w:rsidRPr="00CC3BD9" w:rsidRDefault="00770304" w:rsidP="00770304">
            <w:pPr>
              <w:pStyle w:val="ListParagraph"/>
              <w:numPr>
                <w:ilvl w:val="0"/>
                <w:numId w:val="4"/>
              </w:numPr>
              <w:ind w:left="53" w:hanging="32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CC3BD9">
              <w:rPr>
                <w:rFonts w:eastAsia="Times New Roman"/>
                <w:sz w:val="24"/>
                <w:szCs w:val="24"/>
              </w:rPr>
              <w:t>Стопански Факултет,</w:t>
            </w:r>
          </w:p>
          <w:p w:rsidR="00770304" w:rsidRPr="003E1A4E" w:rsidRDefault="00770304" w:rsidP="00770304">
            <w:pPr>
              <w:pStyle w:val="ListParagraph"/>
              <w:numPr>
                <w:ilvl w:val="0"/>
                <w:numId w:val="4"/>
              </w:numPr>
              <w:ind w:left="53" w:hanging="32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Учебно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3E1A4E">
              <w:rPr>
                <w:rFonts w:eastAsia="Times New Roman"/>
                <w:sz w:val="24"/>
                <w:szCs w:val="24"/>
              </w:rPr>
              <w:t>опитно стопанство</w:t>
            </w:r>
          </w:p>
        </w:tc>
        <w:tc>
          <w:tcPr>
            <w:tcW w:w="1560" w:type="dxa"/>
          </w:tcPr>
          <w:p w:rsidR="00770304" w:rsidRPr="003E1A4E" w:rsidRDefault="00770304" w:rsidP="0098044E">
            <w:pPr>
              <w:widowControl w:val="0"/>
              <w:jc w:val="right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iCs/>
                <w:sz w:val="24"/>
                <w:szCs w:val="24"/>
                <w:lang w:eastAsia="bg-BG" w:bidi="bg-BG"/>
              </w:rPr>
              <w:lastRenderedPageBreak/>
              <w:t>500 бр.</w:t>
            </w:r>
          </w:p>
        </w:tc>
        <w:tc>
          <w:tcPr>
            <w:tcW w:w="1966" w:type="dxa"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ISDN PRA</w:t>
            </w:r>
          </w:p>
        </w:tc>
      </w:tr>
      <w:tr w:rsidR="00770304" w:rsidRPr="003E1A4E" w:rsidTr="0098044E">
        <w:trPr>
          <w:trHeight w:val="726"/>
        </w:trPr>
        <w:tc>
          <w:tcPr>
            <w:tcW w:w="458" w:type="dxa"/>
            <w:vMerge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</w:p>
        </w:tc>
        <w:tc>
          <w:tcPr>
            <w:tcW w:w="2485" w:type="dxa"/>
            <w:vMerge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304" w:rsidRPr="003E1A4E" w:rsidRDefault="00770304" w:rsidP="009804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304" w:rsidRPr="003E1A4E" w:rsidRDefault="00770304" w:rsidP="0098044E">
            <w:pPr>
              <w:widowControl w:val="0"/>
              <w:jc w:val="right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18</w:t>
            </w:r>
            <w:r w:rsidRPr="003E1A4E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 xml:space="preserve"> бр.</w:t>
            </w:r>
          </w:p>
        </w:tc>
        <w:tc>
          <w:tcPr>
            <w:tcW w:w="1966" w:type="dxa"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POTS</w:t>
            </w:r>
          </w:p>
        </w:tc>
      </w:tr>
      <w:tr w:rsidR="00770304" w:rsidRPr="003E1A4E" w:rsidTr="0098044E">
        <w:trPr>
          <w:trHeight w:val="295"/>
        </w:trPr>
        <w:tc>
          <w:tcPr>
            <w:tcW w:w="458" w:type="dxa"/>
            <w:vMerge w:val="restart"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iCs/>
                <w:sz w:val="24"/>
                <w:szCs w:val="24"/>
                <w:lang w:eastAsia="bg-BG" w:bidi="bg-BG"/>
              </w:rPr>
              <w:lastRenderedPageBreak/>
              <w:t>2</w:t>
            </w:r>
          </w:p>
        </w:tc>
        <w:tc>
          <w:tcPr>
            <w:tcW w:w="2485" w:type="dxa"/>
            <w:vMerge w:val="restart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гр. Стара Загора, ул.</w:t>
            </w:r>
            <w:r>
              <w:rPr>
                <w:rFonts w:eastAsia="Times New Roman"/>
                <w:sz w:val="24"/>
                <w:szCs w:val="24"/>
              </w:rPr>
              <w:t xml:space="preserve"> „</w:t>
            </w:r>
            <w:r w:rsidRPr="003E1A4E">
              <w:rPr>
                <w:rFonts w:eastAsia="Times New Roman"/>
                <w:sz w:val="24"/>
                <w:szCs w:val="24"/>
              </w:rPr>
              <w:t>Армейска“ № 11</w:t>
            </w:r>
          </w:p>
        </w:tc>
        <w:tc>
          <w:tcPr>
            <w:tcW w:w="3402" w:type="dxa"/>
            <w:vMerge w:val="restart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Медицински факултет</w:t>
            </w:r>
          </w:p>
        </w:tc>
        <w:tc>
          <w:tcPr>
            <w:tcW w:w="1560" w:type="dxa"/>
          </w:tcPr>
          <w:p w:rsidR="00770304" w:rsidRPr="00DF6265" w:rsidRDefault="00770304" w:rsidP="0098044E">
            <w:pPr>
              <w:widowControl w:val="0"/>
              <w:jc w:val="right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DF6265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300 бр.</w:t>
            </w:r>
          </w:p>
        </w:tc>
        <w:tc>
          <w:tcPr>
            <w:tcW w:w="1966" w:type="dxa"/>
          </w:tcPr>
          <w:p w:rsidR="00770304" w:rsidRPr="00DF6265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DF6265">
              <w:rPr>
                <w:rFonts w:eastAsia="Times New Roman"/>
                <w:sz w:val="24"/>
                <w:szCs w:val="24"/>
              </w:rPr>
              <w:t>R2D</w:t>
            </w:r>
          </w:p>
        </w:tc>
      </w:tr>
      <w:tr w:rsidR="00770304" w:rsidRPr="003E1A4E" w:rsidTr="0098044E">
        <w:trPr>
          <w:trHeight w:val="270"/>
        </w:trPr>
        <w:tc>
          <w:tcPr>
            <w:tcW w:w="458" w:type="dxa"/>
            <w:vMerge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</w:p>
        </w:tc>
        <w:tc>
          <w:tcPr>
            <w:tcW w:w="2485" w:type="dxa"/>
            <w:vMerge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304" w:rsidRPr="00DF6265" w:rsidRDefault="00770304" w:rsidP="0098044E">
            <w:pPr>
              <w:widowControl w:val="0"/>
              <w:jc w:val="right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DF6265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8 бр.</w:t>
            </w:r>
          </w:p>
        </w:tc>
        <w:tc>
          <w:tcPr>
            <w:tcW w:w="1966" w:type="dxa"/>
          </w:tcPr>
          <w:p w:rsidR="00770304" w:rsidRPr="00DF6265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DF6265">
              <w:rPr>
                <w:rFonts w:eastAsia="Times New Roman"/>
                <w:sz w:val="24"/>
                <w:szCs w:val="24"/>
              </w:rPr>
              <w:t>POTS</w:t>
            </w:r>
          </w:p>
        </w:tc>
      </w:tr>
      <w:tr w:rsidR="00770304" w:rsidRPr="003E1A4E" w:rsidTr="0098044E">
        <w:trPr>
          <w:trHeight w:val="276"/>
        </w:trPr>
        <w:tc>
          <w:tcPr>
            <w:tcW w:w="458" w:type="dxa"/>
            <w:vMerge w:val="restart"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2485" w:type="dxa"/>
            <w:vMerge w:val="restart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гр. Стара Загора, ул.</w:t>
            </w:r>
            <w:r>
              <w:rPr>
                <w:rFonts w:eastAsia="Times New Roman"/>
                <w:sz w:val="24"/>
                <w:szCs w:val="24"/>
              </w:rPr>
              <w:t xml:space="preserve"> „</w:t>
            </w:r>
            <w:r w:rsidRPr="003E1A4E">
              <w:rPr>
                <w:rFonts w:eastAsia="Times New Roman"/>
                <w:sz w:val="24"/>
                <w:szCs w:val="24"/>
              </w:rPr>
              <w:t>Армейска“ № 9</w:t>
            </w:r>
          </w:p>
        </w:tc>
        <w:tc>
          <w:tcPr>
            <w:tcW w:w="3402" w:type="dxa"/>
            <w:vMerge w:val="restart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Педагогически факултет</w:t>
            </w:r>
          </w:p>
        </w:tc>
        <w:tc>
          <w:tcPr>
            <w:tcW w:w="1560" w:type="dxa"/>
          </w:tcPr>
          <w:p w:rsidR="00770304" w:rsidRPr="00DF6265" w:rsidRDefault="00770304" w:rsidP="0098044E">
            <w:pPr>
              <w:widowControl w:val="0"/>
              <w:jc w:val="right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DF6265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100 бр.</w:t>
            </w:r>
          </w:p>
        </w:tc>
        <w:tc>
          <w:tcPr>
            <w:tcW w:w="1966" w:type="dxa"/>
          </w:tcPr>
          <w:p w:rsidR="00770304" w:rsidRPr="00DF6265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DF6265">
              <w:rPr>
                <w:rFonts w:eastAsia="Times New Roman"/>
                <w:sz w:val="24"/>
                <w:szCs w:val="24"/>
              </w:rPr>
              <w:t xml:space="preserve">PABX Access </w:t>
            </w:r>
            <w:proofErr w:type="spellStart"/>
            <w:r w:rsidRPr="00DF6265">
              <w:rPr>
                <w:rFonts w:eastAsia="Times New Roman"/>
                <w:sz w:val="24"/>
                <w:szCs w:val="24"/>
              </w:rPr>
              <w:t>Line</w:t>
            </w:r>
            <w:proofErr w:type="spellEnd"/>
          </w:p>
        </w:tc>
      </w:tr>
      <w:tr w:rsidR="00770304" w:rsidRPr="003E1A4E" w:rsidTr="0098044E">
        <w:trPr>
          <w:trHeight w:val="191"/>
        </w:trPr>
        <w:tc>
          <w:tcPr>
            <w:tcW w:w="458" w:type="dxa"/>
            <w:vMerge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</w:p>
        </w:tc>
        <w:tc>
          <w:tcPr>
            <w:tcW w:w="2485" w:type="dxa"/>
            <w:vMerge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304" w:rsidRPr="00DF6265" w:rsidRDefault="00770304" w:rsidP="0098044E">
            <w:pPr>
              <w:widowControl w:val="0"/>
              <w:jc w:val="right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8</w:t>
            </w:r>
            <w:r w:rsidRPr="00DF6265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 xml:space="preserve"> бр.</w:t>
            </w:r>
          </w:p>
        </w:tc>
        <w:tc>
          <w:tcPr>
            <w:tcW w:w="1966" w:type="dxa"/>
          </w:tcPr>
          <w:p w:rsidR="00770304" w:rsidRPr="00DF6265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DF6265">
              <w:rPr>
                <w:rFonts w:eastAsia="Times New Roman"/>
                <w:sz w:val="24"/>
                <w:szCs w:val="24"/>
              </w:rPr>
              <w:t>POTS</w:t>
            </w:r>
          </w:p>
        </w:tc>
      </w:tr>
      <w:tr w:rsidR="00770304" w:rsidRPr="003E1A4E" w:rsidTr="0098044E">
        <w:tc>
          <w:tcPr>
            <w:tcW w:w="458" w:type="dxa"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2485" w:type="dxa"/>
          </w:tcPr>
          <w:p w:rsidR="00770304" w:rsidRPr="003E1A4E" w:rsidRDefault="00770304" w:rsidP="0098044E">
            <w:pPr>
              <w:rPr>
                <w:rFonts w:eastAsia="Times New Roman"/>
                <w:sz w:val="24"/>
                <w:szCs w:val="24"/>
              </w:rPr>
            </w:pPr>
            <w:r w:rsidRPr="003E1A4E">
              <w:rPr>
                <w:rFonts w:eastAsia="Times New Roman"/>
                <w:sz w:val="24"/>
                <w:szCs w:val="24"/>
              </w:rPr>
              <w:t xml:space="preserve">гр. Ямбол, </w:t>
            </w:r>
          </w:p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ул.</w:t>
            </w:r>
            <w:r>
              <w:rPr>
                <w:rFonts w:eastAsia="Times New Roman"/>
                <w:sz w:val="24"/>
                <w:szCs w:val="24"/>
              </w:rPr>
              <w:t xml:space="preserve"> „</w:t>
            </w:r>
            <w:r w:rsidRPr="003E1A4E">
              <w:rPr>
                <w:rFonts w:eastAsia="Times New Roman"/>
                <w:sz w:val="24"/>
                <w:szCs w:val="24"/>
              </w:rPr>
              <w:t>Граф Игнатиев“ № 38</w:t>
            </w:r>
          </w:p>
        </w:tc>
        <w:tc>
          <w:tcPr>
            <w:tcW w:w="3402" w:type="dxa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Факултет Техника и технологии</w:t>
            </w:r>
          </w:p>
        </w:tc>
        <w:tc>
          <w:tcPr>
            <w:tcW w:w="1560" w:type="dxa"/>
          </w:tcPr>
          <w:p w:rsidR="00770304" w:rsidRPr="00DF6265" w:rsidRDefault="00770304" w:rsidP="0098044E">
            <w:pPr>
              <w:widowControl w:val="0"/>
              <w:jc w:val="right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6</w:t>
            </w:r>
            <w:r w:rsidRPr="00DF6265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 xml:space="preserve"> бр.</w:t>
            </w:r>
          </w:p>
        </w:tc>
        <w:tc>
          <w:tcPr>
            <w:tcW w:w="1966" w:type="dxa"/>
          </w:tcPr>
          <w:p w:rsidR="00770304" w:rsidRPr="00DF6265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DF6265">
              <w:rPr>
                <w:rFonts w:eastAsia="Times New Roman"/>
                <w:sz w:val="24"/>
                <w:szCs w:val="24"/>
              </w:rPr>
              <w:t>POTS</w:t>
            </w:r>
          </w:p>
        </w:tc>
      </w:tr>
      <w:tr w:rsidR="00770304" w:rsidRPr="003E1A4E" w:rsidTr="0098044E">
        <w:trPr>
          <w:trHeight w:val="276"/>
        </w:trPr>
        <w:tc>
          <w:tcPr>
            <w:tcW w:w="458" w:type="dxa"/>
            <w:vMerge w:val="restart"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2485" w:type="dxa"/>
            <w:vMerge w:val="restart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гр. Стара Загора, ул.</w:t>
            </w:r>
            <w:r>
              <w:rPr>
                <w:rFonts w:eastAsia="Times New Roman"/>
                <w:sz w:val="24"/>
                <w:szCs w:val="24"/>
              </w:rPr>
              <w:t xml:space="preserve"> „</w:t>
            </w:r>
            <w:r w:rsidRPr="003E1A4E">
              <w:rPr>
                <w:rFonts w:eastAsia="Times New Roman"/>
                <w:sz w:val="24"/>
                <w:szCs w:val="24"/>
              </w:rPr>
              <w:t>Армейска“ № 9</w:t>
            </w:r>
          </w:p>
        </w:tc>
        <w:tc>
          <w:tcPr>
            <w:tcW w:w="3402" w:type="dxa"/>
            <w:vMerge w:val="restart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ДИПКУ</w:t>
            </w:r>
          </w:p>
        </w:tc>
        <w:tc>
          <w:tcPr>
            <w:tcW w:w="1560" w:type="dxa"/>
          </w:tcPr>
          <w:p w:rsidR="00770304" w:rsidRPr="00DF6265" w:rsidRDefault="00770304" w:rsidP="0098044E">
            <w:pPr>
              <w:widowControl w:val="0"/>
              <w:jc w:val="right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DF6265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20 бр.</w:t>
            </w:r>
          </w:p>
        </w:tc>
        <w:tc>
          <w:tcPr>
            <w:tcW w:w="1966" w:type="dxa"/>
          </w:tcPr>
          <w:p w:rsidR="00770304" w:rsidRPr="00DF6265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DF6265">
              <w:rPr>
                <w:rFonts w:eastAsia="Times New Roman"/>
                <w:sz w:val="24"/>
                <w:szCs w:val="24"/>
              </w:rPr>
              <w:t xml:space="preserve">PABX Access </w:t>
            </w:r>
            <w:proofErr w:type="spellStart"/>
            <w:r w:rsidRPr="00DF6265">
              <w:rPr>
                <w:rFonts w:eastAsia="Times New Roman"/>
                <w:sz w:val="24"/>
                <w:szCs w:val="24"/>
              </w:rPr>
              <w:t>Line</w:t>
            </w:r>
            <w:proofErr w:type="spellEnd"/>
          </w:p>
        </w:tc>
      </w:tr>
      <w:tr w:rsidR="00770304" w:rsidRPr="003E1A4E" w:rsidTr="0098044E">
        <w:trPr>
          <w:trHeight w:val="403"/>
        </w:trPr>
        <w:tc>
          <w:tcPr>
            <w:tcW w:w="458" w:type="dxa"/>
            <w:vMerge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</w:p>
        </w:tc>
        <w:tc>
          <w:tcPr>
            <w:tcW w:w="2485" w:type="dxa"/>
            <w:vMerge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304" w:rsidRPr="00DF6265" w:rsidRDefault="00770304" w:rsidP="0098044E">
            <w:pPr>
              <w:widowControl w:val="0"/>
              <w:jc w:val="right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6</w:t>
            </w:r>
            <w:r w:rsidRPr="00DF6265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 xml:space="preserve"> бр.</w:t>
            </w:r>
          </w:p>
        </w:tc>
        <w:tc>
          <w:tcPr>
            <w:tcW w:w="1966" w:type="dxa"/>
          </w:tcPr>
          <w:p w:rsidR="00770304" w:rsidRPr="00DF6265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DF6265">
              <w:rPr>
                <w:rFonts w:eastAsia="Times New Roman"/>
                <w:sz w:val="24"/>
                <w:szCs w:val="24"/>
              </w:rPr>
              <w:t>POTS</w:t>
            </w:r>
          </w:p>
        </w:tc>
      </w:tr>
      <w:tr w:rsidR="00770304" w:rsidRPr="003E1A4E" w:rsidTr="0098044E">
        <w:tc>
          <w:tcPr>
            <w:tcW w:w="458" w:type="dxa"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6</w:t>
            </w:r>
          </w:p>
        </w:tc>
        <w:tc>
          <w:tcPr>
            <w:tcW w:w="2485" w:type="dxa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bCs/>
                <w:sz w:val="24"/>
                <w:szCs w:val="24"/>
              </w:rPr>
              <w:t xml:space="preserve">гр. </w:t>
            </w:r>
            <w:r w:rsidRPr="003E1A4E">
              <w:rPr>
                <w:rFonts w:eastAsia="Times New Roman"/>
                <w:sz w:val="24"/>
                <w:szCs w:val="24"/>
              </w:rPr>
              <w:t>Стара Загора</w:t>
            </w:r>
            <w:r w:rsidRPr="003E1A4E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3E1A4E">
              <w:rPr>
                <w:rFonts w:eastAsia="Times New Roman"/>
                <w:sz w:val="24"/>
                <w:szCs w:val="24"/>
              </w:rPr>
              <w:t xml:space="preserve">ул. </w:t>
            </w:r>
            <w:r>
              <w:rPr>
                <w:rFonts w:eastAsia="Times New Roman"/>
                <w:sz w:val="24"/>
                <w:szCs w:val="24"/>
              </w:rPr>
              <w:t>“</w:t>
            </w:r>
            <w:r w:rsidRPr="003E1A4E">
              <w:rPr>
                <w:rFonts w:eastAsia="Times New Roman"/>
                <w:sz w:val="24"/>
                <w:szCs w:val="24"/>
              </w:rPr>
              <w:t>Армейска” № 9</w:t>
            </w:r>
          </w:p>
        </w:tc>
        <w:tc>
          <w:tcPr>
            <w:tcW w:w="3402" w:type="dxa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bCs/>
                <w:sz w:val="24"/>
                <w:szCs w:val="24"/>
              </w:rPr>
              <w:t>Медицински колеж</w:t>
            </w:r>
          </w:p>
        </w:tc>
        <w:tc>
          <w:tcPr>
            <w:tcW w:w="1560" w:type="dxa"/>
          </w:tcPr>
          <w:p w:rsidR="00770304" w:rsidRPr="003E1A4E" w:rsidRDefault="00770304" w:rsidP="0098044E">
            <w:pPr>
              <w:widowControl w:val="0"/>
              <w:jc w:val="right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3 бр.</w:t>
            </w:r>
          </w:p>
        </w:tc>
        <w:tc>
          <w:tcPr>
            <w:tcW w:w="1966" w:type="dxa"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POTS</w:t>
            </w:r>
          </w:p>
        </w:tc>
      </w:tr>
      <w:tr w:rsidR="00770304" w:rsidRPr="003E1A4E" w:rsidTr="0098044E">
        <w:tc>
          <w:tcPr>
            <w:tcW w:w="458" w:type="dxa"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7</w:t>
            </w:r>
          </w:p>
        </w:tc>
        <w:tc>
          <w:tcPr>
            <w:tcW w:w="2485" w:type="dxa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bCs/>
                <w:sz w:val="24"/>
                <w:szCs w:val="24"/>
              </w:rPr>
              <w:t xml:space="preserve">гр. Хасково, </w:t>
            </w:r>
            <w:r>
              <w:rPr>
                <w:rFonts w:eastAsia="Times New Roman"/>
                <w:bCs/>
                <w:sz w:val="24"/>
                <w:szCs w:val="24"/>
              </w:rPr>
              <w:t>бул. „</w:t>
            </w:r>
            <w:r w:rsidRPr="003E1A4E">
              <w:rPr>
                <w:rFonts w:eastAsia="Times New Roman"/>
                <w:bCs/>
                <w:sz w:val="24"/>
                <w:szCs w:val="24"/>
              </w:rPr>
              <w:t xml:space="preserve">Съединение” </w:t>
            </w:r>
            <w:r w:rsidRPr="003E1A4E">
              <w:rPr>
                <w:rFonts w:eastAsia="Times New Roman"/>
                <w:sz w:val="24"/>
                <w:szCs w:val="24"/>
              </w:rPr>
              <w:t xml:space="preserve">№ </w:t>
            </w:r>
            <w:r w:rsidRPr="003E1A4E"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770304" w:rsidRPr="003E1A4E" w:rsidRDefault="00770304" w:rsidP="0098044E">
            <w:pPr>
              <w:widowControl w:val="0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bCs/>
                <w:sz w:val="24"/>
                <w:szCs w:val="24"/>
              </w:rPr>
              <w:t>Медицински колеж - филиал</w:t>
            </w:r>
          </w:p>
        </w:tc>
        <w:tc>
          <w:tcPr>
            <w:tcW w:w="1560" w:type="dxa"/>
          </w:tcPr>
          <w:p w:rsidR="00770304" w:rsidRPr="003E1A4E" w:rsidRDefault="00770304" w:rsidP="0098044E">
            <w:pPr>
              <w:widowControl w:val="0"/>
              <w:jc w:val="right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iCs/>
                <w:sz w:val="24"/>
                <w:szCs w:val="24"/>
                <w:lang w:eastAsia="bg-BG" w:bidi="bg-BG"/>
              </w:rPr>
              <w:t>3 бр.</w:t>
            </w:r>
          </w:p>
        </w:tc>
        <w:tc>
          <w:tcPr>
            <w:tcW w:w="1966" w:type="dxa"/>
          </w:tcPr>
          <w:p w:rsidR="00770304" w:rsidRPr="003E1A4E" w:rsidRDefault="00770304" w:rsidP="0098044E">
            <w:pPr>
              <w:widowControl w:val="0"/>
              <w:jc w:val="both"/>
              <w:rPr>
                <w:rFonts w:eastAsia="Times New Roman"/>
                <w:iCs/>
                <w:sz w:val="24"/>
                <w:szCs w:val="24"/>
                <w:lang w:eastAsia="bg-BG" w:bidi="bg-BG"/>
              </w:rPr>
            </w:pPr>
            <w:r w:rsidRPr="003E1A4E">
              <w:rPr>
                <w:rFonts w:eastAsia="Times New Roman"/>
                <w:sz w:val="24"/>
                <w:szCs w:val="24"/>
              </w:rPr>
              <w:t>POTS</w:t>
            </w:r>
          </w:p>
        </w:tc>
      </w:tr>
    </w:tbl>
    <w:p w:rsidR="00770304" w:rsidRPr="003E1A4E" w:rsidRDefault="00770304" w:rsidP="00770304">
      <w:pPr>
        <w:widowControl w:val="0"/>
        <w:jc w:val="both"/>
        <w:rPr>
          <w:rFonts w:eastAsia="Times New Roman"/>
          <w:b/>
          <w:i/>
          <w:iCs/>
          <w:sz w:val="24"/>
          <w:szCs w:val="24"/>
          <w:lang w:eastAsia="bg-BG" w:bidi="bg-BG"/>
        </w:rPr>
      </w:pPr>
    </w:p>
    <w:p w:rsidR="00770304" w:rsidRPr="00770304" w:rsidRDefault="00770304" w:rsidP="00770304">
      <w:pPr>
        <w:widowControl w:val="0"/>
        <w:jc w:val="both"/>
        <w:rPr>
          <w:rFonts w:eastAsia="Times New Roman"/>
          <w:iCs/>
          <w:sz w:val="24"/>
          <w:szCs w:val="24"/>
          <w:lang w:val="en-US" w:eastAsia="bg-BG" w:bidi="bg-BG"/>
        </w:rPr>
      </w:pPr>
      <w:r w:rsidRPr="00770304">
        <w:rPr>
          <w:rFonts w:eastAsia="Times New Roman"/>
          <w:b/>
          <w:iCs/>
          <w:sz w:val="24"/>
          <w:szCs w:val="24"/>
          <w:lang w:eastAsia="bg-BG" w:bidi="bg-BG"/>
        </w:rPr>
        <w:t>Техническите изисквания следва задължително да залегнат в техническото предложение на участника, което представлява неразделна част от договора.</w:t>
      </w:r>
    </w:p>
    <w:p w:rsidR="00FD13A2" w:rsidRPr="00FD13A2" w:rsidRDefault="00FD13A2" w:rsidP="00FD13A2">
      <w:pPr>
        <w:widowControl w:val="0"/>
        <w:jc w:val="both"/>
      </w:pPr>
    </w:p>
    <w:sectPr w:rsidR="00FD13A2" w:rsidRPr="00FD1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1BC"/>
    <w:multiLevelType w:val="hybridMultilevel"/>
    <w:tmpl w:val="057CC582"/>
    <w:lvl w:ilvl="0" w:tplc="C5D6379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F923B6"/>
    <w:multiLevelType w:val="hybridMultilevel"/>
    <w:tmpl w:val="2DC2B8C2"/>
    <w:lvl w:ilvl="0" w:tplc="C5BA0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40889"/>
    <w:multiLevelType w:val="hybridMultilevel"/>
    <w:tmpl w:val="3DE4DA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6896"/>
    <w:multiLevelType w:val="hybridMultilevel"/>
    <w:tmpl w:val="156A02D0"/>
    <w:lvl w:ilvl="0" w:tplc="0402000F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80"/>
    <w:rsid w:val="00036FA9"/>
    <w:rsid w:val="002F7618"/>
    <w:rsid w:val="00516382"/>
    <w:rsid w:val="00565157"/>
    <w:rsid w:val="005D6580"/>
    <w:rsid w:val="00770304"/>
    <w:rsid w:val="00793255"/>
    <w:rsid w:val="00CA60B2"/>
    <w:rsid w:val="00EF149E"/>
    <w:rsid w:val="00F207D8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82"/>
    <w:pPr>
      <w:ind w:left="720"/>
      <w:contextualSpacing/>
    </w:pPr>
  </w:style>
  <w:style w:type="table" w:styleId="TableGrid">
    <w:name w:val="Table Grid"/>
    <w:basedOn w:val="TableNormal"/>
    <w:rsid w:val="0077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82"/>
    <w:pPr>
      <w:ind w:left="720"/>
      <w:contextualSpacing/>
    </w:pPr>
  </w:style>
  <w:style w:type="table" w:styleId="TableGrid">
    <w:name w:val="Table Grid"/>
    <w:basedOn w:val="TableNormal"/>
    <w:rsid w:val="0077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8</cp:revision>
  <dcterms:created xsi:type="dcterms:W3CDTF">2016-04-12T17:44:00Z</dcterms:created>
  <dcterms:modified xsi:type="dcterms:W3CDTF">2016-04-13T11:44:00Z</dcterms:modified>
</cp:coreProperties>
</file>